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родителей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детей</w:t>
      </w:r>
      <w:r>
        <w:rPr>
          <w:rFonts w:ascii="Times New Roman" w:hAnsi="Times New Roman" w:cs="Times New Roman"/>
          <w:b/>
          <w:sz w:val="28"/>
          <w:szCs w:val="28"/>
        </w:rPr>
        <w:t xml:space="preserve">,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прибывших с территорий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Донецкой Народной Республики</w:t>
      </w:r>
      <w:r>
        <w:rPr>
          <w:rFonts w:ascii="Times New Roman" w:hAnsi="Times New Roman" w:cs="Times New Roman"/>
          <w:b/>
          <w:sz w:val="28"/>
          <w:szCs w:val="28"/>
        </w:rPr>
        <w:t xml:space="preserve">, Л</w:t>
      </w:r>
      <w:r>
        <w:rPr>
          <w:rFonts w:ascii="Times New Roman" w:hAnsi="Times New Roman" w:cs="Times New Roman"/>
          <w:b/>
          <w:sz w:val="28"/>
          <w:szCs w:val="28"/>
        </w:rPr>
        <w:t xml:space="preserve">уганской Народной Республики</w:t>
      </w:r>
      <w:r>
        <w:rPr>
          <w:rFonts w:ascii="Times New Roman" w:hAnsi="Times New Roman" w:cs="Times New Roman"/>
          <w:b/>
          <w:sz w:val="28"/>
          <w:szCs w:val="28"/>
        </w:rPr>
        <w:t xml:space="preserve">, Запорожской, Херсонской,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  <w:t xml:space="preserve">Белгородской, Брянской и Курской областей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  <w:r/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(в том числе детей лиц, признанных беженцами, являющихся иностранными гражданами и лицами без гражданства)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зачисляемых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обучение в группу общеразвивающей направленности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14"/>
          <w:szCs w:val="28"/>
        </w:rPr>
      </w:pPr>
      <w:r>
        <w:rPr>
          <w:rFonts w:ascii="Times New Roman" w:hAnsi="Times New Roman" w:cs="Times New Roman"/>
          <w:b/>
          <w:sz w:val="14"/>
          <w:szCs w:val="28"/>
        </w:rPr>
      </w:r>
      <w:r>
        <w:rPr>
          <w:rFonts w:ascii="Times New Roman" w:hAnsi="Times New Roman" w:cs="Times New Roman"/>
          <w:b/>
          <w:sz w:val="14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которые необходимо предоставить для приема ребенка в </w:t>
      </w: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</w:t>
      </w:r>
      <w:r>
        <w:rPr>
          <w:rFonts w:eastAsiaTheme="minorHAnsi"/>
          <w:sz w:val="28"/>
          <w:szCs w:val="28"/>
          <w:lang w:eastAsia="en-US"/>
        </w:rPr>
        <w:t xml:space="preserve"> Документ, удостоверяющий личность родителя (законного представителя) ребенка (оригинал и копия).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</w:t>
      </w:r>
      <w:r>
        <w:rPr>
          <w:rFonts w:eastAsiaTheme="minorHAnsi"/>
          <w:sz w:val="28"/>
          <w:szCs w:val="28"/>
          <w:lang w:eastAsia="en-US"/>
        </w:rPr>
        <w:t xml:space="preserve"> Свидетельство </w:t>
      </w:r>
      <w:r>
        <w:rPr>
          <w:rFonts w:eastAsiaTheme="minorHAnsi"/>
          <w:sz w:val="28"/>
          <w:szCs w:val="28"/>
          <w:lang w:eastAsia="en-US"/>
        </w:rPr>
        <w:t xml:space="preserve">о рождении ребенка или документ</w:t>
      </w:r>
      <w:r>
        <w:rPr>
          <w:rFonts w:eastAsiaTheme="minorHAnsi"/>
          <w:sz w:val="28"/>
          <w:szCs w:val="28"/>
          <w:lang w:eastAsia="en-US"/>
        </w:rPr>
        <w:t xml:space="preserve">, подтверждающ</w:t>
      </w:r>
      <w:r>
        <w:rPr>
          <w:rFonts w:eastAsiaTheme="minorHAnsi"/>
          <w:sz w:val="28"/>
          <w:szCs w:val="28"/>
          <w:lang w:eastAsia="en-US"/>
        </w:rPr>
        <w:t xml:space="preserve">ий</w:t>
      </w:r>
      <w:r>
        <w:rPr>
          <w:rFonts w:eastAsiaTheme="minorHAnsi"/>
          <w:sz w:val="28"/>
          <w:szCs w:val="28"/>
          <w:lang w:eastAsia="en-US"/>
        </w:rPr>
        <w:t xml:space="preserve"> родство заявителя 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>
        <w:rPr>
          <w:rFonts w:eastAsiaTheme="minorHAnsi"/>
          <w:sz w:val="28"/>
          <w:szCs w:val="28"/>
          <w:lang w:eastAsia="en-US"/>
        </w:rPr>
        <w:t xml:space="preserve">Документ, подтверждающий установление опеки или попечительства</w:t>
      </w:r>
      <w:r>
        <w:rPr>
          <w:rFonts w:eastAsiaTheme="minorHAnsi"/>
          <w:sz w:val="28"/>
          <w:szCs w:val="28"/>
          <w:lang w:eastAsia="en-US"/>
        </w:rPr>
        <w:t xml:space="preserve"> 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lang w:eastAsia="en-US"/>
        </w:rPr>
        <w:t xml:space="preserve">(при необходимости)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 Д</w:t>
      </w:r>
      <w:r>
        <w:rPr>
          <w:rFonts w:eastAsiaTheme="minorHAnsi"/>
          <w:sz w:val="28"/>
          <w:szCs w:val="28"/>
          <w:lang w:eastAsia="en-US"/>
        </w:rPr>
        <w:t xml:space="preserve">окумент о регистрации ребенка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</w:t>
      </w:r>
      <w:r>
        <w:rPr>
          <w:rFonts w:eastAsiaTheme="minorHAnsi"/>
          <w:sz w:val="28"/>
          <w:szCs w:val="28"/>
          <w:lang w:eastAsia="en-US"/>
        </w:rPr>
        <w:t xml:space="preserve">учае приема на обучение ребенка</w:t>
      </w:r>
      <w:r>
        <w:rPr>
          <w:rFonts w:eastAsiaTheme="minorHAnsi"/>
          <w:sz w:val="28"/>
          <w:szCs w:val="28"/>
          <w:lang w:eastAsia="en-US"/>
        </w:rPr>
        <w:t xml:space="preserve">, проживающ</w:t>
      </w:r>
      <w:r>
        <w:rPr>
          <w:rFonts w:eastAsiaTheme="minorHAnsi"/>
          <w:sz w:val="28"/>
          <w:szCs w:val="28"/>
          <w:lang w:eastAsia="en-US"/>
        </w:rPr>
        <w:t xml:space="preserve">его на закрепленной территории).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5. Личное дело </w:t>
      </w:r>
      <w:r>
        <w:rPr>
          <w:sz w:val="28"/>
          <w:szCs w:val="28"/>
        </w:rPr>
        <w:t xml:space="preserve">обучающегося</w:t>
      </w:r>
      <w:r>
        <w:rPr>
          <w:sz w:val="28"/>
          <w:szCs w:val="28"/>
        </w:rPr>
        <w:t xml:space="preserve"> (при переводе из другого ДОУ).</w:t>
      </w:r>
      <w:r>
        <w:rPr>
          <w:sz w:val="28"/>
          <w:szCs w:val="28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10"/>
          <w:szCs w:val="10"/>
          <w:lang w:eastAsia="en-US"/>
        </w:rPr>
      </w:pPr>
      <w:r>
        <w:rPr>
          <w:rFonts w:eastAsiaTheme="minorHAnsi"/>
          <w:sz w:val="10"/>
          <w:szCs w:val="10"/>
          <w:lang w:eastAsia="en-US"/>
        </w:rPr>
      </w:r>
      <w:r>
        <w:rPr>
          <w:rFonts w:eastAsiaTheme="minorHAnsi"/>
          <w:sz w:val="10"/>
          <w:szCs w:val="10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Родители (законные представители) детей, прибывшие с территорий ДНР и ЛНР, </w:t>
      </w:r>
      <w:r>
        <w:rPr>
          <w:b/>
          <w:sz w:val="28"/>
          <w:szCs w:val="28"/>
        </w:rPr>
        <w:t xml:space="preserve">Запорожской, Херсонской </w:t>
      </w:r>
      <w:r>
        <w:rPr>
          <w:rFonts w:ascii="Times New Roman" w:hAnsi="Times New Roman" w:cs="Times New Roman"/>
          <w:b/>
          <w:sz w:val="28"/>
          <w:szCs w:val="28"/>
        </w:rPr>
        <w:t xml:space="preserve">Белгородской, Брянской и Курской </w:t>
      </w:r>
      <w:r>
        <w:rPr>
          <w:b/>
          <w:sz w:val="28"/>
          <w:szCs w:val="28"/>
        </w:rPr>
        <w:t xml:space="preserve">областей</w:t>
      </w:r>
      <w:r>
        <w:rPr>
          <w:b/>
          <w:sz w:val="28"/>
          <w:szCs w:val="28"/>
        </w:rPr>
        <w:t xml:space="preserve"> </w:t>
      </w:r>
      <w:r>
        <w:rPr>
          <w:rFonts w:eastAsiaTheme="minorHAnsi"/>
          <w:b/>
          <w:sz w:val="28"/>
          <w:szCs w:val="28"/>
          <w:lang w:eastAsia="en-US"/>
        </w:rPr>
        <w:t xml:space="preserve">дополнительно предъявляют</w:t>
      </w:r>
      <w:r>
        <w:rPr>
          <w:rFonts w:eastAsiaTheme="minorHAnsi"/>
          <w:sz w:val="28"/>
          <w:szCs w:val="28"/>
          <w:lang w:eastAsia="en-US"/>
        </w:rPr>
        <w:t xml:space="preserve">: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 Д</w:t>
      </w:r>
      <w:r>
        <w:rPr>
          <w:rFonts w:eastAsiaTheme="minorHAnsi"/>
          <w:sz w:val="28"/>
          <w:szCs w:val="28"/>
          <w:lang w:eastAsia="en-US"/>
        </w:rPr>
        <w:t xml:space="preserve">окумент, подтверждающий родство заявителя (или законность представления прав ребенка)</w:t>
      </w:r>
      <w:r>
        <w:rPr>
          <w:rFonts w:eastAsiaTheme="minorHAnsi"/>
          <w:sz w:val="28"/>
          <w:szCs w:val="28"/>
          <w:lang w:eastAsia="en-US"/>
        </w:rPr>
        <w:t xml:space="preserve"> (оригинал и копия).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7. Д</w:t>
      </w:r>
      <w:r>
        <w:rPr>
          <w:rFonts w:eastAsiaTheme="minorHAnsi"/>
          <w:sz w:val="28"/>
          <w:szCs w:val="28"/>
          <w:lang w:eastAsia="en-US"/>
        </w:rPr>
        <w:t xml:space="preserve">окумент, подтверждающий право заявителя на пребывание в Российской Федерации (миграционная карта и др.), в случае если они не являются гражданами Российской Федерации</w:t>
      </w:r>
      <w:r>
        <w:rPr>
          <w:rFonts w:eastAsiaTheme="minorHAnsi"/>
          <w:sz w:val="28"/>
          <w:szCs w:val="28"/>
          <w:lang w:eastAsia="en-US"/>
        </w:rPr>
        <w:t xml:space="preserve"> 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Иностранные граждане  или лица без гражданства все документы предоставляются на русском языке или вместе с заверенным переводом на русский язык.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i/>
          <w:sz w:val="8"/>
          <w:szCs w:val="28"/>
          <w:lang w:eastAsia="ru-RU"/>
        </w:rPr>
      </w:pPr>
      <w:r>
        <w:rPr>
          <w:rFonts w:ascii="Times New Roman" w:hAnsi="Times New Roman" w:eastAsia="Times New Roman"/>
          <w:i/>
          <w:sz w:val="8"/>
          <w:szCs w:val="28"/>
          <w:lang w:eastAsia="ru-RU"/>
        </w:rPr>
      </w:r>
      <w:r>
        <w:rPr>
          <w:rFonts w:ascii="Times New Roman" w:hAnsi="Times New Roman" w:eastAsia="Times New Roman"/>
          <w:i/>
          <w:sz w:val="8"/>
          <w:szCs w:val="28"/>
          <w:lang w:eastAsia="ru-RU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случае невозможности, в силу чрезвычайных обстоятельств, представления каких-либо документов на момент подачи родителе</w:t>
      </w:r>
      <w:r>
        <w:rPr>
          <w:rFonts w:eastAsiaTheme="minorHAnsi"/>
          <w:sz w:val="28"/>
          <w:szCs w:val="28"/>
          <w:lang w:eastAsia="en-US"/>
        </w:rPr>
        <w:t xml:space="preserve">м (законным представителем) заявления о приеме ребенка в организацию, осуществляющую образовательную деятельность, возможен прием ребенка в организацию, осуществляющую образовательную деятельность, на основании заявления родителя (законного представителя).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/>
      <w:bookmarkStart w:id="1" w:name="100065"/>
      <w:r/>
      <w:bookmarkEnd w:id="1"/>
      <w:r>
        <w:rPr>
          <w:rFonts w:eastAsiaTheme="minorHAnsi"/>
          <w:sz w:val="28"/>
          <w:szCs w:val="28"/>
          <w:lang w:eastAsia="en-US"/>
        </w:rPr>
        <w:t xml:space="preserve">В исключительных случаях (если ребенок прибыл с территорий ДНР и ЛНР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sz w:val="28"/>
          <w:szCs w:val="28"/>
        </w:rPr>
        <w:t xml:space="preserve">Запорожской, Херсонской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Белгородской, Брянской и Курской </w:t>
      </w:r>
      <w:r>
        <w:rPr>
          <w:sz w:val="28"/>
          <w:szCs w:val="28"/>
        </w:rPr>
        <w:t xml:space="preserve"> областей</w:t>
      </w:r>
      <w:r>
        <w:rPr>
          <w:rFonts w:eastAsiaTheme="minorHAnsi"/>
          <w:sz w:val="28"/>
          <w:szCs w:val="28"/>
          <w:lang w:eastAsia="en-US"/>
        </w:rPr>
        <w:t xml:space="preserve"> в сопровождении родственника или ин</w:t>
      </w:r>
      <w:r>
        <w:rPr>
          <w:rFonts w:eastAsiaTheme="minorHAnsi"/>
          <w:sz w:val="28"/>
          <w:szCs w:val="28"/>
          <w:lang w:eastAsia="en-US"/>
        </w:rPr>
        <w:t xml:space="preserve">ого лица, не имеющих законного права представлять интересы конкретного ребенка, либо без сопровождения) возможен прием ребенка в организацию, осуществляющую образовательную деятельность, на основании заявления родственника или иного лица, заинтересованных </w:t>
      </w:r>
      <w:r>
        <w:rPr>
          <w:rFonts w:eastAsiaTheme="minorHAnsi"/>
          <w:sz w:val="28"/>
          <w:szCs w:val="28"/>
          <w:lang w:eastAsia="en-US"/>
        </w:rPr>
        <w:t xml:space="preserve">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обеспечении</w:t>
      </w:r>
      <w:r>
        <w:rPr>
          <w:rFonts w:eastAsiaTheme="minorHAnsi"/>
          <w:sz w:val="28"/>
          <w:szCs w:val="28"/>
          <w:lang w:eastAsia="en-US"/>
        </w:rPr>
        <w:t xml:space="preserve"> права ребенка на получение общего образования</w:t>
      </w:r>
      <w:r>
        <w:rPr>
          <w:rFonts w:eastAsiaTheme="minorHAnsi"/>
          <w:sz w:val="28"/>
          <w:szCs w:val="28"/>
          <w:lang w:eastAsia="en-US"/>
        </w:rPr>
        <w:t xml:space="preserve"> (Письмо Минпросвещения России от 24.02.2022 № 03-226 «О направлении методических рекомендаций»).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10"/>
          <w:szCs w:val="10"/>
          <w:lang w:eastAsia="en-US"/>
        </w:rPr>
      </w:pPr>
      <w:r>
        <w:rPr>
          <w:rFonts w:eastAsiaTheme="minorHAnsi"/>
          <w:sz w:val="10"/>
          <w:szCs w:val="10"/>
          <w:lang w:eastAsia="en-US"/>
        </w:rPr>
      </w:r>
      <w:r>
        <w:rPr>
          <w:rFonts w:eastAsiaTheme="minorHAnsi"/>
          <w:sz w:val="10"/>
          <w:szCs w:val="10"/>
          <w:lang w:eastAsia="en-US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сокращения времени заполнения бланков документов пр</w:t>
      </w:r>
      <w:r>
        <w:rPr>
          <w:rFonts w:ascii="Times New Roman" w:hAnsi="Times New Roman" w:cs="Times New Roman"/>
          <w:b/>
          <w:sz w:val="28"/>
          <w:szCs w:val="28"/>
        </w:rPr>
        <w:t xml:space="preserve">едлагае</w:t>
      </w:r>
      <w:r>
        <w:rPr>
          <w:rFonts w:ascii="Times New Roman" w:hAnsi="Times New Roman" w:cs="Times New Roman"/>
          <w:b/>
          <w:sz w:val="28"/>
          <w:szCs w:val="28"/>
        </w:rPr>
        <w:t xml:space="preserve">м Ва</w:t>
      </w: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>
        <w:rPr>
          <w:rFonts w:ascii="Times New Roman" w:hAnsi="Times New Roman" w:cs="Times New Roman"/>
          <w:b/>
          <w:sz w:val="28"/>
          <w:szCs w:val="28"/>
        </w:rPr>
        <w:t xml:space="preserve">Заранее ознакомиться с документами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», регламентирующими организацию и осуществление образовательной деятельности, размещенными </w:t>
      </w:r>
      <w:r>
        <w:rPr>
          <w:rFonts w:ascii="Times New Roman" w:hAnsi="Times New Roman" w:eastAsia="Calibri" w:cs="Times New Roman"/>
          <w:bCs/>
          <w:sz w:val="28"/>
          <w:szCs w:val="28"/>
        </w:rPr>
        <w:t xml:space="preserve">на  официальном  сайте </w:t>
      </w:r>
      <w:r>
        <w:rPr>
          <w:rFonts w:ascii="Times New Roman" w:hAnsi="Times New Roman" w:eastAsia="Calibri" w:cs="Times New Roman"/>
          <w:sz w:val="28"/>
          <w:szCs w:val="28"/>
        </w:rPr>
        <w:t xml:space="preserve">М</w:t>
      </w:r>
      <w:r>
        <w:rPr>
          <w:rFonts w:ascii="Times New Roman" w:hAnsi="Times New Roman" w:eastAsia="Calibri" w:cs="Times New Roman"/>
          <w:sz w:val="28"/>
          <w:szCs w:val="28"/>
        </w:rPr>
        <w:t xml:space="preserve">Б</w:t>
      </w:r>
      <w:r>
        <w:rPr>
          <w:rFonts w:ascii="Times New Roman" w:hAnsi="Times New Roman" w:eastAsia="Calibri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eastAsia="Calibri" w:cs="Times New Roman"/>
          <w:sz w:val="28"/>
          <w:szCs w:val="28"/>
        </w:rPr>
        <w:t xml:space="preserve">133</w:t>
      </w:r>
      <w:r>
        <w:rPr>
          <w:rFonts w:ascii="Times New Roman" w:hAnsi="Times New Roman" w:eastAsia="Calibri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 в сети «Интернет»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во вкладке главного меню «Прием граждан на обучение в ДОО» (</w:t>
      </w:r>
      <w:hyperlink r:id="rId11" w:tooltip="https://mdou133nn.caduk.ru/p61aa1.html" w:history="1">
        <w:r>
          <w:rPr>
            <w:rStyle w:val="676"/>
            <w:sz w:val="28"/>
            <w:szCs w:val="28"/>
          </w:rPr>
        </w:r>
        <w:r>
          <w:rPr>
            <w:rStyle w:val="676"/>
            <w:sz w:val="28"/>
            <w:szCs w:val="28"/>
          </w:rPr>
          <w:t xml:space="preserve">https://nn133.mdoy.pro/str/24893</w:t>
        </w:r>
        <w:r>
          <w:rPr>
            <w:rStyle w:val="676"/>
            <w:sz w:val="28"/>
            <w:szCs w:val="28"/>
          </w:rPr>
        </w:r>
      </w:hyperlink>
      <w:r>
        <w:rPr>
          <w:rFonts w:ascii="Times New Roman" w:hAnsi="Times New Roman" w:eastAsia="Calibri" w:cs="Times New Roman"/>
          <w:bCs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- Устав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Сведения о дате предоставления и регистрационном номере лицензии на осуществление образовательной деятельности,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Образовательная программа дошкольного образования  М</w:t>
      </w:r>
      <w:r>
        <w:rPr>
          <w:rFonts w:ascii="Times New Roman" w:hAnsi="Times New Roman"/>
          <w:sz w:val="28"/>
          <w:szCs w:val="28"/>
        </w:rPr>
        <w:t xml:space="preserve">Б</w:t>
      </w:r>
      <w:r>
        <w:rPr>
          <w:rFonts w:ascii="Times New Roman" w:hAnsi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/>
          <w:sz w:val="28"/>
          <w:szCs w:val="28"/>
        </w:rPr>
        <w:t xml:space="preserve">133</w:t>
      </w:r>
      <w:r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(</w:t>
      </w:r>
      <w:r>
        <w:rPr>
          <w:rFonts w:ascii="Times New Roman" w:hAnsi="Times New Roman"/>
          <w:sz w:val="28"/>
          <w:szCs w:val="28"/>
        </w:rPr>
        <w:t xml:space="preserve">описание</w:t>
      </w:r>
      <w:r>
        <w:rPr>
          <w:rFonts w:ascii="Times New Roman" w:hAnsi="Times New Roman"/>
          <w:sz w:val="28"/>
          <w:szCs w:val="28"/>
        </w:rPr>
        <w:t xml:space="preserve">)</w:t>
      </w:r>
      <w:r>
        <w:rPr>
          <w:rFonts w:ascii="Times New Roman" w:hAnsi="Times New Roman"/>
          <w:sz w:val="28"/>
          <w:szCs w:val="28"/>
        </w:rPr>
        <w:t xml:space="preserve">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Правила приема граждан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на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обучение по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 образовательным программам дошкольного образования в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 w:cs="Times New Roman"/>
          <w:b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Порядок оформления возникновения и прекращения отношений между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и родителями (законными представителями)  несовершеннолетних обучающихся,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- Порядок и  основания  перевода и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отчисления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 обучающихся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Положение о режиме занятий обучающихся 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Правила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внутреннего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распорядка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</w:r>
      <w:r>
        <w:rPr>
          <w:rFonts w:ascii="Times New Roman" w:hAnsi="Times New Roman" w:cs="Times New Roman"/>
          <w:sz w:val="10"/>
          <w:szCs w:val="10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Заполнить бланки документов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ра</w:t>
      </w:r>
      <w:r>
        <w:rPr>
          <w:rFonts w:ascii="Times New Roman" w:hAnsi="Times New Roman" w:cs="Times New Roman"/>
          <w:b/>
          <w:sz w:val="28"/>
          <w:szCs w:val="28"/>
        </w:rPr>
        <w:t xml:space="preserve">змеще</w:t>
      </w:r>
      <w:r>
        <w:rPr>
          <w:rFonts w:ascii="Times New Roman" w:hAnsi="Times New Roman" w:cs="Times New Roman"/>
          <w:b/>
          <w:sz w:val="28"/>
          <w:szCs w:val="28"/>
        </w:rPr>
        <w:t xml:space="preserve">нные в</w:t>
      </w:r>
      <w:r>
        <w:rPr>
          <w:rFonts w:ascii="Times New Roman" w:hAnsi="Times New Roman" w:cs="Times New Roman"/>
          <w:b/>
          <w:sz w:val="28"/>
          <w:szCs w:val="28"/>
        </w:rPr>
        <w:t xml:space="preserve">о вкладке</w:t>
      </w:r>
      <w:r>
        <w:rPr>
          <w:rFonts w:ascii="Times New Roman" w:hAnsi="Times New Roman" w:cs="Times New Roman"/>
          <w:b/>
          <w:sz w:val="28"/>
          <w:szCs w:val="28"/>
        </w:rPr>
        <w:t xml:space="preserve"> «Прием граждан на обучение в ДОО»</w:t>
      </w:r>
      <w:r>
        <w:rPr>
          <w:rFonts w:ascii="Times New Roman" w:hAnsi="Times New Roman" w:cs="Times New Roman"/>
          <w:sz w:val="28"/>
          <w:szCs w:val="28"/>
        </w:rPr>
        <w:t xml:space="preserve"> (там же находятся образцы заполнения бланков) </w:t>
      </w:r>
      <w:r>
        <w:rPr>
          <w:rFonts w:ascii="Times New Roman" w:hAnsi="Times New Roman" w:cs="Times New Roman"/>
          <w:sz w:val="28"/>
          <w:szCs w:val="28"/>
        </w:rPr>
      </w:r>
      <w:hyperlink r:id="rId12" w:tooltip="https://nn133.mdoy.pro/str/24893" w:history="1">
        <w:r>
          <w:rPr>
            <w:rStyle w:val="676"/>
            <w:rFonts w:ascii="Times New Roman" w:hAnsi="Times New Roman" w:cs="Times New Roman"/>
            <w:sz w:val="28"/>
            <w:szCs w:val="28"/>
          </w:rPr>
          <w:t xml:space="preserve">https://nn133.mdoy.pro/str/24893</w:t>
        </w:r>
        <w:r>
          <w:rPr>
            <w:rStyle w:val="676"/>
            <w:rFonts w:ascii="Times New Roman" w:hAnsi="Times New Roman" w:cs="Times New Roman"/>
            <w:sz w:val="28"/>
            <w:szCs w:val="28"/>
          </w:rPr>
        </w:r>
      </w:hyperlink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Заявление о приеме на обучение</w:t>
      </w:r>
      <w:r>
        <w:rPr>
          <w:rFonts w:ascii="Times New Roman" w:hAnsi="Times New Roman" w:cs="Times New Roman"/>
          <w:sz w:val="28"/>
          <w:szCs w:val="28"/>
        </w:rPr>
        <w:t xml:space="preserve"> (образец заполненного заявления </w:t>
      </w:r>
      <w:r>
        <w:rPr>
          <w:rFonts w:ascii="Times New Roman" w:hAnsi="Times New Roman" w:cs="Times New Roman"/>
          <w:sz w:val="28"/>
          <w:szCs w:val="28"/>
        </w:rPr>
        <w:t xml:space="preserve">при приеме на обучение в  группу </w:t>
      </w:r>
      <w:r>
        <w:rPr>
          <w:rFonts w:ascii="Times New Roman" w:hAnsi="Times New Roman" w:cs="Times New Roman"/>
          <w:sz w:val="28"/>
          <w:szCs w:val="28"/>
        </w:rPr>
        <w:t xml:space="preserve">общеразвивающей направленности),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Согласие на обработку персональных данных,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Договор об образовании по О</w:t>
      </w:r>
      <w:r>
        <w:rPr>
          <w:rFonts w:ascii="Times New Roman" w:hAnsi="Times New Roman" w:cs="Times New Roman"/>
          <w:sz w:val="28"/>
          <w:szCs w:val="28"/>
        </w:rPr>
        <w:t xml:space="preserve">бразовательн</w:t>
      </w:r>
      <w:r>
        <w:rPr>
          <w:rFonts w:ascii="Times New Roman" w:hAnsi="Times New Roman" w:cs="Times New Roman"/>
          <w:sz w:val="28"/>
          <w:szCs w:val="28"/>
        </w:rPr>
        <w:t xml:space="preserve">ой</w:t>
      </w:r>
      <w:r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дошкольного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при приеме на обучение в  группу </w:t>
      </w:r>
      <w:r>
        <w:rPr>
          <w:rFonts w:ascii="Times New Roman" w:hAnsi="Times New Roman" w:cs="Times New Roman"/>
          <w:sz w:val="28"/>
          <w:szCs w:val="28"/>
        </w:rPr>
        <w:t xml:space="preserve">общеразвивающей направленности)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6"/>
          <w:szCs w:val="10"/>
        </w:rPr>
      </w:pPr>
      <w:r>
        <w:rPr>
          <w:rFonts w:ascii="Times New Roman" w:hAnsi="Times New Roman" w:cs="Times New Roman"/>
          <w:b/>
          <w:sz w:val="6"/>
          <w:szCs w:val="10"/>
        </w:rPr>
      </w:r>
      <w:r>
        <w:rPr>
          <w:rFonts w:ascii="Times New Roman" w:hAnsi="Times New Roman" w:cs="Times New Roman"/>
          <w:b/>
          <w:sz w:val="6"/>
          <w:szCs w:val="10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Варианты заполнения документов: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Бланки документов  скачать с официального  сайта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 распечатать, заполнить по образцу и принести в детский сад (на бумажном и (или) электронном </w:t>
      </w:r>
      <w:r>
        <w:rPr>
          <w:rFonts w:ascii="Times New Roman" w:hAnsi="Times New Roman" w:cs="Times New Roman"/>
          <w:sz w:val="28"/>
          <w:szCs w:val="28"/>
        </w:rPr>
        <w:t xml:space="preserve">носителе</w:t>
      </w:r>
      <w:r>
        <w:rPr>
          <w:rFonts w:ascii="Times New Roman" w:hAnsi="Times New Roman" w:cs="Times New Roman"/>
          <w:sz w:val="28"/>
          <w:szCs w:val="28"/>
        </w:rPr>
        <w:t xml:space="preserve">) в назначенные дату и время.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Заполнить бланки документов при личном визите в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в назначенные дату и время.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8"/>
          <w:szCs w:val="28"/>
        </w:rPr>
      </w:pPr>
      <w:r>
        <w:rPr>
          <w:rFonts w:ascii="Times New Roman" w:hAnsi="Times New Roman" w:cs="Times New Roman"/>
          <w:sz w:val="8"/>
          <w:szCs w:val="28"/>
        </w:rPr>
      </w:r>
      <w:r>
        <w:rPr>
          <w:rFonts w:ascii="Times New Roman" w:hAnsi="Times New Roman" w:cs="Times New Roman"/>
          <w:sz w:val="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sz w:val="28"/>
          <w:szCs w:val="28"/>
        </w:rPr>
        <w:t xml:space="preserve"> 8(831)29</w:t>
      </w:r>
      <w:r>
        <w:rPr>
          <w:rFonts w:ascii="Times New Roman" w:hAnsi="Times New Roman" w:cs="Times New Roman"/>
          <w:sz w:val="28"/>
          <w:szCs w:val="28"/>
        </w:rPr>
        <w:t xml:space="preserve">5-52-53</w:t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ответственного лица для обратной связи: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8</w:t>
      </w:r>
      <w:r>
        <w:rPr>
          <w:rFonts w:ascii="Times New Roman" w:hAnsi="Times New Roman" w:cs="Times New Roman"/>
          <w:sz w:val="28"/>
          <w:szCs w:val="28"/>
        </w:rPr>
        <w:t xml:space="preserve">(831)295-52-53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Анастасия Алексеевна Кузнецова</w:t>
      </w:r>
      <w:r>
        <w:rPr>
          <w:rFonts w:ascii="Times New Roman" w:hAnsi="Times New Roman" w:cs="Times New Roman"/>
          <w:b/>
          <w:sz w:val="28"/>
          <w:szCs w:val="28"/>
        </w:rPr>
      </w:r>
      <w:r/>
    </w:p>
    <w:sectPr>
      <w:footerReference w:type="default" r:id="rId9"/>
      <w:footnotePr/>
      <w:endnotePr/>
      <w:type w:val="nextPage"/>
      <w:pgSz w:w="11906" w:h="16838" w:orient="portrait"/>
      <w:pgMar w:top="709" w:right="1134" w:bottom="255" w:left="1276" w:header="567" w:footer="567" w:gutter="0"/>
      <w:pgNumType w:start="29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3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</w:r>
    <w:r>
      <w:rPr>
        <w:rFonts w:ascii="Times New Roman" w:hAnsi="Times New Roman" w:cs="Times New Roman"/>
        <w:sz w:val="20"/>
      </w:rPr>
    </w:r>
  </w:p>
  <w:p>
    <w:pPr>
      <w:pStyle w:val="68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2"/>
    <w:next w:val="67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3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2"/>
    <w:next w:val="67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3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2"/>
    <w:next w:val="67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3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2"/>
    <w:next w:val="672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3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2"/>
    <w:next w:val="67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3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2"/>
    <w:next w:val="67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3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2"/>
    <w:next w:val="67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3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2"/>
    <w:next w:val="67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3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2"/>
    <w:next w:val="67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3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2"/>
    <w:next w:val="67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3"/>
    <w:link w:val="34"/>
    <w:uiPriority w:val="10"/>
    <w:rPr>
      <w:sz w:val="48"/>
      <w:szCs w:val="48"/>
    </w:rPr>
  </w:style>
  <w:style w:type="paragraph" w:styleId="36">
    <w:name w:val="Subtitle"/>
    <w:basedOn w:val="672"/>
    <w:next w:val="67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3"/>
    <w:link w:val="36"/>
    <w:uiPriority w:val="11"/>
    <w:rPr>
      <w:sz w:val="24"/>
      <w:szCs w:val="24"/>
    </w:rPr>
  </w:style>
  <w:style w:type="paragraph" w:styleId="38">
    <w:name w:val="Quote"/>
    <w:basedOn w:val="672"/>
    <w:next w:val="67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2"/>
    <w:next w:val="67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3"/>
    <w:link w:val="681"/>
    <w:uiPriority w:val="99"/>
  </w:style>
  <w:style w:type="character" w:styleId="45">
    <w:name w:val="Footer Char"/>
    <w:basedOn w:val="673"/>
    <w:link w:val="683"/>
    <w:uiPriority w:val="99"/>
  </w:style>
  <w:style w:type="paragraph" w:styleId="46">
    <w:name w:val="Caption"/>
    <w:basedOn w:val="672"/>
    <w:next w:val="67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83"/>
    <w:uiPriority w:val="99"/>
  </w:style>
  <w:style w:type="table" w:styleId="48">
    <w:name w:val="Table Grid"/>
    <w:basedOn w:val="67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7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3"/>
    <w:uiPriority w:val="99"/>
    <w:unhideWhenUsed/>
    <w:rPr>
      <w:vertAlign w:val="superscript"/>
    </w:rPr>
  </w:style>
  <w:style w:type="paragraph" w:styleId="178">
    <w:name w:val="endnote text"/>
    <w:basedOn w:val="67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3"/>
    <w:uiPriority w:val="99"/>
    <w:semiHidden/>
    <w:unhideWhenUsed/>
    <w:rPr>
      <w:vertAlign w:val="superscript"/>
    </w:rPr>
  </w:style>
  <w:style w:type="paragraph" w:styleId="181">
    <w:name w:val="toc 1"/>
    <w:basedOn w:val="672"/>
    <w:next w:val="67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2"/>
    <w:next w:val="67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2"/>
    <w:next w:val="67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2"/>
    <w:next w:val="67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2"/>
    <w:next w:val="67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2"/>
    <w:next w:val="67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2"/>
    <w:next w:val="67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2"/>
    <w:next w:val="67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2"/>
    <w:next w:val="67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2"/>
    <w:next w:val="672"/>
    <w:uiPriority w:val="99"/>
    <w:unhideWhenUsed/>
    <w:pPr>
      <w:spacing w:after="0" w:afterAutospacing="0"/>
    </w:pPr>
  </w:style>
  <w:style w:type="paragraph" w:styleId="672" w:default="1">
    <w:name w:val="Normal"/>
    <w:qFormat/>
  </w:style>
  <w:style w:type="character" w:styleId="673" w:default="1">
    <w:name w:val="Default Paragraph Font"/>
    <w:uiPriority w:val="1"/>
    <w:semiHidden/>
    <w:unhideWhenUsed/>
  </w:style>
  <w:style w:type="table" w:styleId="67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5" w:default="1">
    <w:name w:val="No List"/>
    <w:uiPriority w:val="99"/>
    <w:semiHidden/>
    <w:unhideWhenUsed/>
  </w:style>
  <w:style w:type="character" w:styleId="676">
    <w:name w:val="Hyperlink"/>
    <w:basedOn w:val="673"/>
    <w:uiPriority w:val="99"/>
    <w:unhideWhenUsed/>
    <w:rPr>
      <w:color w:val="0000ff" w:themeColor="hyperlink"/>
      <w:u w:val="single"/>
    </w:rPr>
  </w:style>
  <w:style w:type="paragraph" w:styleId="677">
    <w:name w:val="List Paragraph"/>
    <w:basedOn w:val="672"/>
    <w:uiPriority w:val="34"/>
    <w:qFormat/>
    <w:pPr>
      <w:contextualSpacing/>
      <w:ind w:left="720"/>
    </w:pPr>
  </w:style>
  <w:style w:type="paragraph" w:styleId="678" w:customStyle="1">
    <w:name w:val="pboth"/>
    <w:basedOn w:val="672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79">
    <w:name w:val="Balloon Text"/>
    <w:basedOn w:val="672"/>
    <w:link w:val="680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80" w:customStyle="1">
    <w:name w:val="Текст выноски Знак"/>
    <w:basedOn w:val="673"/>
    <w:link w:val="679"/>
    <w:uiPriority w:val="99"/>
    <w:semiHidden/>
    <w:rPr>
      <w:rFonts w:ascii="Segoe UI" w:hAnsi="Segoe UI" w:cs="Segoe UI"/>
      <w:sz w:val="18"/>
      <w:szCs w:val="18"/>
    </w:rPr>
  </w:style>
  <w:style w:type="paragraph" w:styleId="681">
    <w:name w:val="Header"/>
    <w:basedOn w:val="672"/>
    <w:link w:val="682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2" w:customStyle="1">
    <w:name w:val="Верхний колонтитул Знак"/>
    <w:basedOn w:val="673"/>
    <w:link w:val="681"/>
    <w:uiPriority w:val="99"/>
  </w:style>
  <w:style w:type="paragraph" w:styleId="683">
    <w:name w:val="Footer"/>
    <w:basedOn w:val="672"/>
    <w:link w:val="684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4" w:customStyle="1">
    <w:name w:val="Нижний колонтитул Знак"/>
    <w:basedOn w:val="673"/>
    <w:link w:val="683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customXml" Target="../customXml/item1.xml" /><Relationship Id="rId11" Type="http://schemas.openxmlformats.org/officeDocument/2006/relationships/hyperlink" Target="https://mdou133nn.caduk.ru/p61aa1.html" TargetMode="External"/><Relationship Id="rId12" Type="http://schemas.openxmlformats.org/officeDocument/2006/relationships/hyperlink" Target="https://nn133.mdoy.pro/str/24893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97229-9F4B-4581-B407-8E404F55A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Анастасия Кузнецова</cp:lastModifiedBy>
  <cp:revision>79</cp:revision>
  <dcterms:created xsi:type="dcterms:W3CDTF">2022-05-30T09:06:00Z</dcterms:created>
  <dcterms:modified xsi:type="dcterms:W3CDTF">2025-04-22T09:56:20Z</dcterms:modified>
</cp:coreProperties>
</file>