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7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3DAC7B">
      <w:pPr>
        <w:spacing w:before="1"/>
        <w:ind w:left="1158" w:right="1130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FB48BA6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9E3F5F0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8B8D897">
      <w:pPr>
        <w:pStyle w:val="2"/>
        <w:numPr>
          <w:ilvl w:val="8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E162041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3284F70B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434AA089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 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24D9ACBE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</w:t>
      </w:r>
      <w:r>
        <w:rPr>
          <w:rFonts w:hint="default"/>
          <w:color w:val="FF0000"/>
          <w:sz w:val="22"/>
          <w:u w:val="single"/>
          <w:lang w:val="ru-RU"/>
        </w:rPr>
        <w:t xml:space="preserve">2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6B27DC9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26E98D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6F45C33">
      <w:pPr>
        <w:pStyle w:val="5"/>
        <w:spacing w:before="6"/>
        <w:ind w:left="0"/>
        <w:rPr>
          <w:sz w:val="14"/>
        </w:rPr>
      </w:pPr>
    </w:p>
    <w:p w14:paraId="68C303BC">
      <w:pPr>
        <w:pStyle w:val="2"/>
        <w:numPr>
          <w:ilvl w:val="8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F55D3E8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F02AED3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2B4D99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0B469F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основании:</w:t>
      </w:r>
    </w:p>
    <w:p w14:paraId="15B108F6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478077B1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408581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74076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D249D97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53F9CD7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57F7DC0C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7C4CDFCF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4D276CD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0C698336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AA555BE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8C5B952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C206D9D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4082046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76A60C6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FDB5EBD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2E325163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258DAF16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67D328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A7C7700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2ADFDB7">
      <w:pPr>
        <w:pStyle w:val="5"/>
        <w:tabs>
          <w:tab w:val="left" w:pos="3147"/>
          <w:tab w:val="left" w:pos="5569"/>
          <w:tab w:val="left" w:pos="7991"/>
          <w:tab w:val="left" w:pos="9885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BD8CD46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3A4D2459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255AEEF4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53BCD6D8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4DA8191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</w:t>
      </w:r>
      <w:r>
        <w:rPr>
          <w:spacing w:val="-1"/>
          <w:sz w:val="22"/>
        </w:rPr>
        <w:t xml:space="preserve"> </w:t>
      </w:r>
      <w:r>
        <w:rPr>
          <w:sz w:val="22"/>
        </w:rPr>
        <w:t>ее</w:t>
      </w:r>
      <w:r>
        <w:rPr>
          <w:spacing w:val="-2"/>
          <w:sz w:val="22"/>
        </w:rPr>
        <w:t xml:space="preserve"> </w:t>
      </w:r>
      <w:r>
        <w:rPr>
          <w:sz w:val="22"/>
        </w:rPr>
        <w:t>реализации.</w:t>
      </w:r>
    </w:p>
    <w:p w14:paraId="134704C6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0D3A9C72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E3A59EC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1A4F046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8EA450E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41B2E36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94E52B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7EDCEC4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41ED7C9C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46442BBA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89515CE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6C6F3B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3F6BA73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CB9E1F2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D4952C3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30F6A89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990EC3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CB17B46">
      <w:pPr>
        <w:pStyle w:val="5"/>
        <w:ind w:right="808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0A7B9BF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6B999AA8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1D08213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85BA0F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0EAA8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F9198DA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.</w:t>
      </w:r>
    </w:p>
    <w:p w14:paraId="3D70724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45E8DF0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688DC0D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383D3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1F7215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39A5F2FF">
      <w:pPr>
        <w:pStyle w:val="5"/>
        <w:spacing w:before="3"/>
        <w:ind w:left="0"/>
        <w:rPr>
          <w:sz w:val="24"/>
        </w:rPr>
      </w:pPr>
    </w:p>
    <w:p w14:paraId="0463547F">
      <w:pPr>
        <w:pStyle w:val="2"/>
        <w:numPr>
          <w:ilvl w:val="8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7BFAB6BE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2012г.</w:t>
      </w:r>
    </w:p>
    <w:p w14:paraId="5FF6BDE8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6FA7D621">
      <w:pPr>
        <w:pStyle w:val="5"/>
        <w:spacing w:before="2"/>
        <w:ind w:left="0"/>
        <w:rPr>
          <w:sz w:val="30"/>
        </w:rPr>
      </w:pPr>
    </w:p>
    <w:p w14:paraId="1DBB34D5">
      <w:pPr>
        <w:pStyle w:val="2"/>
        <w:numPr>
          <w:ilvl w:val="8"/>
          <w:numId w:val="1"/>
        </w:numPr>
        <w:tabs>
          <w:tab w:val="left" w:pos="1598"/>
        </w:tabs>
        <w:spacing w:before="1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FDBD198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FAD4E72">
      <w:pPr>
        <w:pStyle w:val="5"/>
        <w:spacing w:before="1"/>
        <w:ind w:left="0"/>
        <w:rPr>
          <w:sz w:val="30"/>
        </w:rPr>
      </w:pPr>
    </w:p>
    <w:p w14:paraId="66B324A9">
      <w:pPr>
        <w:pStyle w:val="2"/>
        <w:numPr>
          <w:ilvl w:val="8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4CE9999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4F43CAC2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F8E627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3B4F064B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36BA2D4">
      <w:pPr>
        <w:pStyle w:val="2"/>
        <w:numPr>
          <w:ilvl w:val="8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732639E8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6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6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 xml:space="preserve">26 </w:t>
      </w:r>
      <w:r>
        <w:rPr>
          <w:sz w:val="22"/>
        </w:rPr>
        <w:t>г.</w:t>
      </w:r>
    </w:p>
    <w:p w14:paraId="06573E4B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5562DC06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1D212E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057D597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17280B2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EB8E03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2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8884292">
      <w:pPr>
        <w:pStyle w:val="5"/>
        <w:spacing w:before="4"/>
        <w:ind w:left="0"/>
        <w:rPr>
          <w:sz w:val="14"/>
        </w:rPr>
      </w:pPr>
    </w:p>
    <w:p w14:paraId="41B15F6C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87F93B2">
      <w:pPr>
        <w:pStyle w:val="5"/>
        <w:ind w:left="0"/>
        <w:rPr>
          <w:sz w:val="24"/>
        </w:rPr>
      </w:pPr>
    </w:p>
    <w:p w14:paraId="0D819AD3">
      <w:pPr>
        <w:pStyle w:val="5"/>
        <w:spacing w:before="2"/>
        <w:ind w:left="0"/>
        <w:rPr>
          <w:sz w:val="19"/>
        </w:rPr>
      </w:pPr>
    </w:p>
    <w:p w14:paraId="0F51DFFA">
      <w:pPr>
        <w:pStyle w:val="2"/>
        <w:spacing w:before="1"/>
        <w:ind w:left="784" w:firstLine="0"/>
      </w:pPr>
      <w:r>
        <w:t>Исполнитель</w:t>
      </w:r>
    </w:p>
    <w:p w14:paraId="352B0323">
      <w:pPr>
        <w:pStyle w:val="9"/>
        <w:numPr>
          <w:ilvl w:val="8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6E013336">
      <w:pPr>
        <w:pStyle w:val="2"/>
        <w:spacing w:before="152"/>
        <w:ind w:left="2387" w:firstLine="0"/>
      </w:pPr>
      <w:r>
        <w:t>Заказчик</w:t>
      </w:r>
    </w:p>
    <w:p w14:paraId="7A6AB458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265A8ED4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B22CE23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5A930F6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4591396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5B1AE23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44B217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251ECD9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rFonts w:hint="default"/>
          <w:spacing w:val="-2"/>
          <w:lang w:val="ru-RU"/>
        </w:rPr>
        <w:t>133</w:t>
      </w:r>
      <w:r>
        <w:t>»)</w:t>
      </w:r>
    </w:p>
    <w:p w14:paraId="7E2F0E3C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70023471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57AF5BC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90AA466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92DF32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48A168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3EE0B7B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1E97C539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579CE680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E28C23A">
      <w:pPr>
        <w:pStyle w:val="5"/>
        <w:spacing w:before="2"/>
        <w:ind w:left="784"/>
        <w:rPr>
          <w:sz w:val="22"/>
          <w:szCs w:val="22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15871354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7D659471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3E385C53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37F581CF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7F1EC1DA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B25381C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69B49AB4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04AF247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F88CE5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A19E3F0">
      <w:pPr>
        <w:pStyle w:val="5"/>
        <w:spacing w:line="252" w:lineRule="exact"/>
        <w:ind w:left="784"/>
      </w:pPr>
      <w:r>
        <w:t>БИК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E0FB2FF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710B09E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1F69269D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FDDA26D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FC9F54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0C70E659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E5F2EDB">
      <w:pPr>
        <w:pStyle w:val="5"/>
        <w:ind w:left="0"/>
        <w:rPr>
          <w:sz w:val="20"/>
        </w:rPr>
      </w:pPr>
    </w:p>
    <w:p w14:paraId="1097995B">
      <w:pPr>
        <w:pStyle w:val="5"/>
        <w:ind w:left="0"/>
        <w:rPr>
          <w:sz w:val="20"/>
        </w:rPr>
      </w:pPr>
    </w:p>
    <w:p w14:paraId="62BA4C52">
      <w:pPr>
        <w:pStyle w:val="5"/>
        <w:ind w:left="0"/>
        <w:rPr>
          <w:sz w:val="20"/>
        </w:rPr>
      </w:pPr>
    </w:p>
    <w:p w14:paraId="1453E6B2">
      <w:pPr>
        <w:pStyle w:val="5"/>
        <w:spacing w:before="8"/>
        <w:ind w:left="0"/>
        <w:rPr>
          <w:sz w:val="20"/>
        </w:rPr>
      </w:pPr>
    </w:p>
    <w:p w14:paraId="331B4623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  </w:t>
      </w:r>
      <w:bookmarkStart w:id="0" w:name="_GoBack"/>
      <w:bookmarkEnd w:id="0"/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</w:t>
      </w:r>
    </w:p>
    <w:p w14:paraId="5D7383E9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4742A2B6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FAD4081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7117E"/>
    <w:multiLevelType w:val="multilevel"/>
    <w:tmpl w:val="D647117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18712BF0"/>
    <w:multiLevelType w:val="multilevel"/>
    <w:tmpl w:val="18712BF0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29F91DED"/>
    <w:multiLevelType w:val="multilevel"/>
    <w:tmpl w:val="29F91DED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4">
    <w:nsid w:val="3E01A188"/>
    <w:multiLevelType w:val="multilevel"/>
    <w:tmpl w:val="3E01A18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0DF21C5F"/>
    <w:rsid w:val="21F250F9"/>
    <w:rsid w:val="2C236D5F"/>
    <w:rsid w:val="2FC14DDE"/>
    <w:rsid w:val="39B05800"/>
    <w:rsid w:val="42920DB6"/>
    <w:rsid w:val="45FA1B8A"/>
    <w:rsid w:val="48BD1566"/>
    <w:rsid w:val="492C7E4B"/>
    <w:rsid w:val="5924062D"/>
    <w:rsid w:val="59C67EF4"/>
    <w:rsid w:val="603A0CBA"/>
    <w:rsid w:val="67957FE7"/>
    <w:rsid w:val="72FC073B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