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left="0" w:right="0"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Статистика</w:t>
      </w:r>
      <w:r>
        <w:rPr>
          <w:b/>
          <w:bCs/>
          <w:sz w:val="28"/>
          <w:szCs w:val="28"/>
        </w:rPr>
        <w:t xml:space="preserve"> о детском дорожно-транспортном травматизме </w:t>
      </w:r>
      <w:r>
        <w:rPr>
          <w:sz w:val="28"/>
          <w:szCs w:val="28"/>
        </w:rPr>
      </w:r>
    </w:p>
    <w:p>
      <w:pPr>
        <w:ind w:left="0" w:right="0"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 7 месяцев 2024 г</w:t>
      </w:r>
      <w:r>
        <w:rPr>
          <w:b/>
          <w:bCs/>
          <w:sz w:val="28"/>
          <w:szCs w:val="28"/>
        </w:rPr>
        <w:t xml:space="preserve">ода</w:t>
      </w:r>
      <w:r>
        <w:rPr>
          <w:sz w:val="28"/>
          <w:szCs w:val="28"/>
        </w:rPr>
      </w:r>
      <w:r/>
    </w:p>
    <w:p>
      <w:pPr>
        <w:pStyle w:val="617"/>
        <w:ind w:left="0" w:right="0" w:firstLine="709"/>
        <w:jc w:val="left"/>
      </w:pPr>
      <w:r/>
      <w:r/>
    </w:p>
    <w:p>
      <w:pPr>
        <w:pStyle w:val="617"/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итогам 7 месяц</w:t>
      </w:r>
      <w:r>
        <w:rPr>
          <w:sz w:val="28"/>
          <w:szCs w:val="28"/>
        </w:rPr>
        <w:t xml:space="preserve">ев 2024 г. на территории региона обстановка с детским дорожно-транспортным травматизмом остается напряженной. Число ДТП снизилось на 1% (с 289 до 286), погибло двое несовершеннолетних (-81,8%, с 11 до 2), число пострадавших увеличилось на 1,9% (с 311 до 31</w:t>
      </w:r>
      <w:r>
        <w:rPr>
          <w:sz w:val="28"/>
          <w:szCs w:val="28"/>
        </w:rPr>
        <w:t xml:space="preserve">7).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Рост дорожно-транспортных происшествий допущен на территории 19 муниципальных и городских округов.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Отмечается рост ДТП с участием несовершеннолетних в г. Н.Новгород, г.о.г Бор, Арзамас и м.о. Шатковский. Наблюдается рост на 3% (с 99 до 102) числа дорож</w:t>
      </w:r>
      <w:r>
        <w:rPr>
          <w:sz w:val="28"/>
          <w:szCs w:val="28"/>
        </w:rPr>
        <w:t xml:space="preserve">ных происшествий с участием детей-пешеходов. Рост подобных ДТП прослеживается в округах: Дзержинск, Саров, Богородский, Вадский, Воротынский, Воскресенский, Городецкий, Кстовский, Лукояновский, Уренский. При этом на 2,6% (с 39 до 38) сократилось число авто</w:t>
      </w:r>
      <w:r>
        <w:rPr>
          <w:sz w:val="28"/>
          <w:szCs w:val="28"/>
        </w:rPr>
        <w:t xml:space="preserve">аварий из-за неосторожного поведения пешеходов, в которых 1 ребенок погиб, 40 несовершеннолетних пострадали.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 итогам 7 месяцев 2024 г. зарегистрировано 31 дорожно-транспортное происшествие при нахождении детей на безопасных маршрутах «Дом-школа-дом». Нес</w:t>
      </w:r>
      <w:r>
        <w:rPr>
          <w:sz w:val="28"/>
          <w:szCs w:val="28"/>
        </w:rPr>
        <w:t xml:space="preserve">мотря на снижение на 10,8% (с 120 до 107) числа аварий с участием детей-пассажиров, рост подобных ДТП зафиксирован в округах: Выкса, Арзамас, Бор, Большемурашкинский, Вознесенский, Воскресенский, Городецкий, Ковернинский, Краснобаковский, Павловский, Спасс</w:t>
      </w:r>
      <w:r>
        <w:rPr>
          <w:sz w:val="28"/>
          <w:szCs w:val="28"/>
        </w:rPr>
        <w:t xml:space="preserve">кий, Тоншаевский, Шатковский. Кроме того, в 16 автоавариях несовершеннолетние пассажиры получили травмы в результате нарушения требований к их перевозке.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За истекший период произошло 34 ДТП с участием несовершеннолетних велосипедистов, в которых 35 подростков получили травмы. Количество ДТП по неосторожности детей увеличилось на 17,6% (с 91 до 107), погиб 1 ребенок. Число пострадавших детей так</w:t>
      </w:r>
      <w:r>
        <w:rPr>
          <w:sz w:val="28"/>
          <w:szCs w:val="28"/>
        </w:rPr>
        <w:t xml:space="preserve">же увеличилось на 23,9% (с 92 до 114). Рост подобных происшествий наблюдается в округах: Нижний Новгород, Дзержинск, Арзамас, Богородский, Вадский, Гагинский, Кстовский, Лысковский, Навашинский, Павловский, Пильнинский, Семеновский, Сергачский, Уренский, Ч</w:t>
      </w:r>
      <w:r>
        <w:rPr>
          <w:sz w:val="28"/>
          <w:szCs w:val="28"/>
        </w:rPr>
        <w:t xml:space="preserve">каловск, Шатковский. 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highlight w:val="none"/>
        </w:rPr>
      </w:pPr>
      <w:r>
        <w:rPr>
          <w:sz w:val="28"/>
          <w:szCs w:val="28"/>
        </w:rPr>
        <w:t xml:space="preserve">Анализ детской аварийности за последние пять лет показывает, что в сентябре 2024 г. будет прослеживаться высокая вероятность аварийности с детьми-пассажирами и с детьми-пешеходами в промежуток времени с 14.00 до 15.00, с 16.00 до 19.00</w:t>
      </w:r>
      <w:r/>
      <w:r/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line="276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0"/>
        <w:jc w:val="both"/>
        <w:spacing w:line="276" w:lineRule="auto"/>
        <w:rPr>
          <w:sz w:val="28"/>
          <w:szCs w:val="28"/>
        </w:rPr>
      </w:pPr>
      <w:r>
        <w:rPr>
          <w:highlight w:val="none"/>
        </w:rPr>
      </w:r>
      <w:r>
        <w:rPr>
          <w:highlight w:val="none"/>
        </w:rPr>
        <w:t xml:space="preserve">Госавтоинспекция по Нижегородской области </w: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1134" w:bottom="1134" w:left="1134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Arial">
    <w:panose1 w:val="020B0604020202020204"/>
  </w:font>
  <w:font w:name="Droid Sans Fallback">
    <w:panose1 w:val="020B0502000000000001"/>
  </w:font>
  <w:font w:name="Droid Sans Devanagari">
    <w:panose1 w:val="020B0606030804020204"/>
  </w:font>
  <w:font w:name="Liberation Serif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character" w:styleId="47">
    <w:name w:val="Caption Char"/>
    <w:basedOn w:val="621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c3fdba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c5fdbc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1ebe03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43c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dba" w:themeFill="accent1" w:themeFillTint="34"/>
    </w:tblPr>
    <w:tblStylePr w:type="band1Horz">
      <w:tcPr>
        <w:shd w:val="clear" w:color="ffffff" w:themeColor="accent1" w:themeTint="75" w:fill="79fb64" w:themeFill="accent1" w:themeFillTint="75"/>
      </w:tcPr>
    </w:tblStylePr>
    <w:tblStylePr w:type="band1Vert">
      <w:tcPr>
        <w:shd w:val="clear" w:color="ffffff" w:themeColor="accent1" w:themeTint="75" w:fill="79fb6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ce7fd" w:themeFill="accent2" w:themeFillTint="32"/>
    </w:tblPr>
    <w:tblStylePr w:type="band1Horz">
      <w:tcPr>
        <w:shd w:val="clear" w:color="ffffff" w:themeColor="accent2" w:themeTint="75" w:fill="64c8fb" w:themeFill="accent2" w:themeFillTint="75"/>
      </w:tcPr>
    </w:tblStylePr>
    <w:tblStylePr w:type="band1Vert">
      <w:tcPr>
        <w:shd w:val="clear" w:color="ffffff" w:themeColor="accent2" w:themeTint="75" w:fill="64c8fb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dd2ba" w:themeFill="accent3" w:themeFillTint="34"/>
    </w:tblPr>
    <w:tblStylePr w:type="band1Horz">
      <w:tcPr>
        <w:shd w:val="clear" w:color="ffffff" w:themeColor="accent3" w:themeTint="75" w:fill="fb9964" w:themeFill="accent3" w:themeFillTint="75"/>
      </w:tcPr>
    </w:tblStylePr>
    <w:tblStylePr w:type="band1Vert">
      <w:tcPr>
        <w:shd w:val="clear" w:color="ffffff" w:themeColor="accent3" w:themeTint="75" w:fill="fb9964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3bafd" w:themeFill="accent4" w:themeFillTint="34"/>
    </w:tblPr>
    <w:tblStylePr w:type="band1Horz">
      <w:tcPr>
        <w:shd w:val="clear" w:color="ffffff" w:themeColor="accent4" w:themeTint="75" w:fill="e464fb" w:themeFill="accent4" w:themeFillTint="75"/>
      </w:tcPr>
    </w:tblStylePr>
    <w:tblStylePr w:type="band1Vert">
      <w:tcPr>
        <w:shd w:val="clear" w:color="ffffff" w:themeColor="accent4" w:themeTint="75" w:fill="e464fb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efbf" w:themeFill="accent5" w:themeFillTint="34"/>
    </w:tblPr>
    <w:tblStylePr w:type="band1Horz">
      <w:tcPr>
        <w:shd w:val="clear" w:color="ffffff" w:themeColor="accent5" w:themeTint="75" w:fill="ffdb71" w:themeFill="accent5" w:themeFillTint="75"/>
      </w:tcPr>
    </w:tblStylePr>
    <w:tblStylePr w:type="band1Vert">
      <w:tcPr>
        <w:shd w:val="clear" w:color="ffffff" w:themeColor="accent5" w:themeTint="75" w:fill="ffdb71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7cccc" w:themeFill="accent6" w:themeFillTint="34"/>
    </w:tblPr>
    <w:tblStylePr w:type="band1Horz">
      <w:tcPr>
        <w:shd w:val="clear" w:color="ffffff" w:themeColor="accent6" w:themeTint="75" w:fill="ee8f8f" w:themeFill="accent6" w:themeFillTint="75"/>
      </w:tcPr>
    </w:tblStylePr>
    <w:tblStylePr w:type="band1Vert">
      <w:tcPr>
        <w:shd w:val="clear" w:color="ffffff" w:themeColor="accent6" w:themeTint="75" w:fill="ee8f8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1ebf04" w:themeColor="accent1" w:themeTint="80" w:themeShade="95"/>
      </w:rPr>
    </w:tblStylePr>
    <w:tblStylePr w:type="firstRow">
      <w:rPr>
        <w:b/>
        <w:color w:val="1ebf04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ebf04" w:themeColor="accent1" w:themeTint="80" w:themeShade="95"/>
      </w:rPr>
    </w:tblStylePr>
    <w:tblStylePr w:type="lastRow">
      <w:rPr>
        <w:b/>
        <w:color w:val="1ebf04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e2201" w:themeColor="accent3" w:themeTint="FE" w:themeShade="95"/>
      </w:rPr>
    </w:tblStylePr>
    <w:tblStylePr w:type="firstRow">
      <w:rPr>
        <w:b/>
        <w:color w:val="5e2201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e2201" w:themeColor="accent3" w:themeTint="FE" w:themeShade="95"/>
      </w:rPr>
    </w:tblStylePr>
    <w:tblStylePr w:type="lastRow">
      <w:rPr>
        <w:b/>
        <w:color w:val="5e2201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745700" w:themeColor="accent5" w:themeShade="95"/>
      </w:rPr>
    </w:tblStylePr>
    <w:tblStylePr w:type="firstRow">
      <w:rPr>
        <w:b/>
        <w:color w:val="745700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45700" w:themeColor="accent5" w:themeShade="95"/>
      </w:rPr>
    </w:tblStylePr>
    <w:tblStylePr w:type="lastRow">
      <w:rPr>
        <w:b/>
        <w:color w:val="7457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1ebf04" w:themeColor="accent1" w:themeTint="80" w:themeShade="95"/>
        <w:sz w:val="22"/>
      </w:rPr>
      <w:tcPr>
        <w:shd w:val="clear" w:color="ffffff" w:themeColor="accent1" w:themeTint="34" w:fill="c3fdba" w:themeFill="accent1" w:themeFillTint="34"/>
      </w:tcPr>
    </w:tblStylePr>
    <w:tblStylePr w:type="band1Vert">
      <w:tcPr>
        <w:shd w:val="clear" w:color="ffffff" w:themeColor="accent1" w:themeTint="34" w:fill="c3fdba" w:themeFill="accent1" w:themeFillTint="34"/>
      </w:tcPr>
    </w:tblStylePr>
    <w:tblStylePr w:type="band2Horz">
      <w:rPr>
        <w:rFonts w:ascii="Arial" w:hAnsi="Arial"/>
        <w:color w:val="1ebf04" w:themeColor="accent1" w:themeTint="80" w:themeShade="95"/>
        <w:sz w:val="22"/>
      </w:rPr>
    </w:tblStylePr>
    <w:tblStylePr w:type="firstCol">
      <w:rPr>
        <w:rFonts w:ascii="Arial" w:hAnsi="Arial"/>
        <w:i/>
        <w:color w:val="1ebf04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ebf04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ebf04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32" w:fill="bce7fd" w:themeFill="accent2" w:themeFillTint="32"/>
      </w:tcPr>
    </w:tblStylePr>
    <w:tblStylePr w:type="band1Vert">
      <w:tcPr>
        <w:shd w:val="clear" w:color="ffffff" w:themeColor="accent2" w:themeTint="32" w:fill="bce7fd" w:themeFill="accent2" w:themeFillTint="32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e2201" w:themeColor="accent3" w:themeTint="FE" w:themeShade="95"/>
        <w:sz w:val="22"/>
      </w:rPr>
      <w:tcPr>
        <w:shd w:val="clear" w:color="ffffff" w:themeColor="accent3" w:themeTint="34" w:fill="fdd2ba" w:themeFill="accent3" w:themeFillTint="34"/>
      </w:tcPr>
    </w:tblStylePr>
    <w:tblStylePr w:type="band1Vert">
      <w:tcPr>
        <w:shd w:val="clear" w:color="ffffff" w:themeColor="accent3" w:themeTint="34" w:fill="fdd2ba" w:themeFill="accent3" w:themeFillTint="34"/>
      </w:tcPr>
    </w:tblStylePr>
    <w:tblStylePr w:type="band2Horz">
      <w:rPr>
        <w:rFonts w:ascii="Arial" w:hAnsi="Arial"/>
        <w:color w:val="5e2201" w:themeColor="accent3" w:themeTint="FE" w:themeShade="95"/>
        <w:sz w:val="22"/>
      </w:rPr>
    </w:tblStylePr>
    <w:tblStylePr w:type="firstCol">
      <w:rPr>
        <w:rFonts w:ascii="Arial" w:hAnsi="Arial"/>
        <w:i/>
        <w:color w:val="5e2201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e2201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e2201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34" w:fill="f3bafd" w:themeFill="accent4" w:themeFillTint="34"/>
      </w:tcPr>
    </w:tblStylePr>
    <w:tblStylePr w:type="band1Vert">
      <w:tcPr>
        <w:shd w:val="clear" w:color="ffffff" w:themeColor="accent4" w:themeTint="34" w:fill="f3bafd" w:themeFill="accent4" w:themeFillTint="34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745700" w:themeColor="accent5" w:themeShade="95"/>
        <w:sz w:val="22"/>
      </w:rPr>
      <w:tcPr>
        <w:shd w:val="clear" w:color="ffffff" w:themeColor="accent5" w:themeTint="34" w:fill="ffefbf" w:themeFill="accent5" w:themeFillTint="34"/>
      </w:tcPr>
    </w:tblStylePr>
    <w:tblStylePr w:type="band1Vert">
      <w:tcPr>
        <w:shd w:val="clear" w:color="ffffff" w:themeColor="accent5" w:themeTint="34" w:fill="ffefbf" w:themeFill="accent5" w:themeFillTint="34"/>
      </w:tcPr>
    </w:tblStylePr>
    <w:tblStylePr w:type="band2Horz">
      <w:rPr>
        <w:rFonts w:ascii="Arial" w:hAnsi="Arial"/>
        <w:color w:val="745700" w:themeColor="accent5" w:themeShade="95"/>
        <w:sz w:val="22"/>
      </w:rPr>
    </w:tblStylePr>
    <w:tblStylePr w:type="firstCol">
      <w:rPr>
        <w:rFonts w:ascii="Arial" w:hAnsi="Arial"/>
        <w:i/>
        <w:color w:val="745700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45700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5700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741111" w:themeColor="accent6" w:themeShade="95"/>
        <w:sz w:val="22"/>
      </w:rPr>
      <w:tcPr>
        <w:shd w:val="clear" w:color="ffffff" w:themeColor="accent6" w:themeTint="34" w:fill="f7cccc" w:themeFill="accent6" w:themeFillTint="34"/>
      </w:tcPr>
    </w:tblStylePr>
    <w:tblStylePr w:type="band1Vert">
      <w:tcPr>
        <w:shd w:val="clear" w:color="ffffff" w:themeColor="accent6" w:themeTint="34" w:fill="f7cccc" w:themeFill="accent6" w:themeFillTint="34"/>
      </w:tcPr>
    </w:tblStylePr>
    <w:tblStylePr w:type="band2Horz">
      <w:rPr>
        <w:rFonts w:ascii="Arial" w:hAnsi="Arial"/>
        <w:color w:val="741111" w:themeColor="accent6" w:themeShade="95"/>
        <w:sz w:val="22"/>
      </w:rPr>
    </w:tblStylePr>
    <w:tblStylePr w:type="firstCol">
      <w:rPr>
        <w:rFonts w:ascii="Arial" w:hAnsi="Arial"/>
        <w:i/>
        <w:color w:val="741111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41111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41111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fa7a35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ffd042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e96e6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b6fdaa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18a303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aae1fd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0369a3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fdc7aa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33e0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0aafd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e03a3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ffebb1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c99c00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5c2c2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c9211e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blStylePr w:type="band1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6b8fb" w:themeFill="accent2" w:themeFillTint="97"/>
    </w:tblPr>
    <w:tblStylePr w:type="band1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36b8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36b8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36b8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a7a35" w:themeFill="accent3" w:themeFillTint="98"/>
    </w:tblPr>
    <w:tblStylePr w:type="band1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fa7a35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fa7a35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fa7a35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dc33fa" w:themeFill="accent4" w:themeFillTint="9A"/>
    </w:tblPr>
    <w:tblStylePr w:type="band1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dc33fa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dc33fa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dc33fa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042" w:themeFill="accent5" w:themeFillTint="9A"/>
    </w:tblPr>
    <w:tblStylePr w:type="band1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ffd042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ffd042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ffd042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6e6e" w:themeFill="accent6" w:themeFillTint="98"/>
    </w:tblPr>
    <w:tblStylePr w:type="band1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e96e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e96e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e96e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e5e01" w:themeColor="accent1" w:themeShade="95"/>
      </w:rPr>
    </w:tblStylePr>
    <w:tblStylePr w:type="firstRow">
      <w:rPr>
        <w:b/>
        <w:color w:val="0e5e0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e01" w:themeColor="accent1" w:themeShade="95"/>
      </w:rPr>
    </w:tblStylePr>
    <w:tblStylePr w:type="lastRow">
      <w:rPr>
        <w:b/>
        <w:color w:val="0e5e0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0378ae" w:themeColor="accent2" w:themeTint="97" w:themeShade="95"/>
      </w:rPr>
    </w:tblStylePr>
    <w:tblStylePr w:type="firstRow">
      <w:rPr>
        <w:b/>
        <w:color w:val="0378ae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378ae" w:themeColor="accent2" w:themeTint="97" w:themeShade="95"/>
      </w:rPr>
    </w:tblStylePr>
    <w:tblStylePr w:type="lastRow">
      <w:rPr>
        <w:b/>
        <w:color w:val="0378ae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ab3b04" w:themeColor="accent3" w:themeTint="98" w:themeShade="95"/>
      </w:rPr>
    </w:tblStylePr>
    <w:tblStylePr w:type="firstRow">
      <w:rPr>
        <w:b/>
        <w:color w:val="ab3b04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b3b04" w:themeColor="accent3" w:themeTint="98" w:themeShade="95"/>
      </w:rPr>
    </w:tblStylePr>
    <w:tblStylePr w:type="lastRow">
      <w:rPr>
        <w:b/>
        <w:color w:val="ab3b04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9104ab" w:themeColor="accent4" w:themeTint="9A" w:themeShade="95"/>
      </w:rPr>
    </w:tblStylePr>
    <w:tblStylePr w:type="firstRow">
      <w:rPr>
        <w:b/>
        <w:color w:val="9104ab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104ab" w:themeColor="accent4" w:themeTint="9A" w:themeShade="95"/>
      </w:rPr>
    </w:tblStylePr>
    <w:tblStylePr w:type="lastRow">
      <w:rPr>
        <w:b/>
        <w:color w:val="9104ab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ba8700" w:themeColor="accent5" w:themeTint="9A" w:themeShade="95"/>
      </w:rPr>
    </w:tblStylePr>
    <w:tblStylePr w:type="firstRow">
      <w:rPr>
        <w:b/>
        <w:color w:val="ba870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a8700" w:themeColor="accent5" w:themeTint="9A" w:themeShade="95"/>
      </w:rPr>
    </w:tblStylePr>
    <w:tblStylePr w:type="lastRow">
      <w:rPr>
        <w:b/>
        <w:color w:val="ba870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ad1a1a" w:themeColor="accent6" w:themeTint="98" w:themeShade="95"/>
      </w:rPr>
    </w:tblStylePr>
    <w:tblStylePr w:type="firstRow">
      <w:rPr>
        <w:b/>
        <w:color w:val="ad1a1a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d1a1a" w:themeColor="accent6" w:themeTint="98" w:themeShade="95"/>
      </w:rPr>
    </w:tblStylePr>
    <w:tblStylePr w:type="lastRow">
      <w:rPr>
        <w:b/>
        <w:color w:val="ad1a1a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0e5e01" w:themeColor="accent1" w:themeShade="95"/>
        <w:sz w:val="22"/>
      </w:rPr>
      <w:tcPr>
        <w:shd w:val="clear" w:color="ffffff" w:themeColor="accent1" w:themeTint="40" w:fill="b6fdaa" w:themeFill="accent1" w:themeFillTint="40"/>
      </w:tcPr>
    </w:tblStylePr>
    <w:tblStylePr w:type="band1Vert">
      <w:tcPr>
        <w:shd w:val="clear" w:color="ffffff" w:themeColor="accent1" w:themeTint="40" w:fill="b6fdaa" w:themeFill="accent1" w:themeFillTint="40"/>
      </w:tcPr>
    </w:tblStylePr>
    <w:tblStylePr w:type="band2Horz">
      <w:rPr>
        <w:rFonts w:ascii="Arial" w:hAnsi="Arial"/>
        <w:color w:val="0e5e01" w:themeColor="accent1" w:themeShade="95"/>
        <w:sz w:val="22"/>
      </w:rPr>
    </w:tblStylePr>
    <w:tblStylePr w:type="firstCol">
      <w:rPr>
        <w:rFonts w:ascii="Arial" w:hAnsi="Arial"/>
        <w:i/>
        <w:color w:val="0e5e0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e0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e0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e5e0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0378ae" w:themeColor="accent2" w:themeTint="97" w:themeShade="95"/>
        <w:sz w:val="22"/>
      </w:rPr>
      <w:tcPr>
        <w:shd w:val="clear" w:color="ffffff" w:themeColor="accent2" w:themeTint="40" w:fill="aae1fd" w:themeFill="accent2" w:themeFillTint="40"/>
      </w:tcPr>
    </w:tblStylePr>
    <w:tblStylePr w:type="band1Vert">
      <w:tcPr>
        <w:shd w:val="clear" w:color="ffffff" w:themeColor="accent2" w:themeTint="40" w:fill="aae1fd" w:themeFill="accent2" w:themeFillTint="40"/>
      </w:tcPr>
    </w:tblStylePr>
    <w:tblStylePr w:type="band2Horz">
      <w:rPr>
        <w:rFonts w:ascii="Arial" w:hAnsi="Arial"/>
        <w:color w:val="0378ae" w:themeColor="accent2" w:themeTint="97" w:themeShade="95"/>
        <w:sz w:val="22"/>
      </w:rPr>
    </w:tblStylePr>
    <w:tblStylePr w:type="firstCol">
      <w:rPr>
        <w:rFonts w:ascii="Arial" w:hAnsi="Arial"/>
        <w:i/>
        <w:color w:val="0378ae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378ae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378ae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0378ae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ab3b04" w:themeColor="accent3" w:themeTint="98" w:themeShade="95"/>
        <w:sz w:val="22"/>
      </w:rPr>
      <w:tcPr>
        <w:shd w:val="clear" w:color="ffffff" w:themeColor="accent3" w:themeTint="40" w:fill="fdc7aa" w:themeFill="accent3" w:themeFillTint="40"/>
      </w:tcPr>
    </w:tblStylePr>
    <w:tblStylePr w:type="band1Vert">
      <w:tcPr>
        <w:shd w:val="clear" w:color="ffffff" w:themeColor="accent3" w:themeTint="40" w:fill="fdc7aa" w:themeFill="accent3" w:themeFillTint="40"/>
      </w:tcPr>
    </w:tblStylePr>
    <w:tblStylePr w:type="band2Horz">
      <w:rPr>
        <w:rFonts w:ascii="Arial" w:hAnsi="Arial"/>
        <w:color w:val="ab3b04" w:themeColor="accent3" w:themeTint="98" w:themeShade="95"/>
        <w:sz w:val="22"/>
      </w:rPr>
    </w:tblStylePr>
    <w:tblStylePr w:type="firstCol">
      <w:rPr>
        <w:rFonts w:ascii="Arial" w:hAnsi="Arial"/>
        <w:i/>
        <w:color w:val="ab3b04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b3b04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b3b04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b3b04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9104ab" w:themeColor="accent4" w:themeTint="9A" w:themeShade="95"/>
        <w:sz w:val="22"/>
      </w:rPr>
      <w:tcPr>
        <w:shd w:val="clear" w:color="ffffff" w:themeColor="accent4" w:themeTint="40" w:fill="f0aafd" w:themeFill="accent4" w:themeFillTint="40"/>
      </w:tcPr>
    </w:tblStylePr>
    <w:tblStylePr w:type="band1Vert">
      <w:tcPr>
        <w:shd w:val="clear" w:color="ffffff" w:themeColor="accent4" w:themeTint="40" w:fill="f0aafd" w:themeFill="accent4" w:themeFillTint="40"/>
      </w:tcPr>
    </w:tblStylePr>
    <w:tblStylePr w:type="band2Horz">
      <w:rPr>
        <w:rFonts w:ascii="Arial" w:hAnsi="Arial"/>
        <w:color w:val="9104ab" w:themeColor="accent4" w:themeTint="9A" w:themeShade="95"/>
        <w:sz w:val="22"/>
      </w:rPr>
    </w:tblStylePr>
    <w:tblStylePr w:type="firstCol">
      <w:rPr>
        <w:rFonts w:ascii="Arial" w:hAnsi="Arial"/>
        <w:i/>
        <w:color w:val="9104ab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104ab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104ab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104ab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ba8700" w:themeColor="accent5" w:themeTint="9A" w:themeShade="95"/>
        <w:sz w:val="22"/>
      </w:rPr>
      <w:tcPr>
        <w:shd w:val="clear" w:color="ffffff" w:themeColor="accent5" w:themeTint="40" w:fill="ffebb1" w:themeFill="accent5" w:themeFillTint="40"/>
      </w:tcPr>
    </w:tblStylePr>
    <w:tblStylePr w:type="band1Vert">
      <w:tcPr>
        <w:shd w:val="clear" w:color="ffffff" w:themeColor="accent5" w:themeTint="40" w:fill="ffebb1" w:themeFill="accent5" w:themeFillTint="40"/>
      </w:tcPr>
    </w:tblStylePr>
    <w:tblStylePr w:type="band2Horz">
      <w:rPr>
        <w:rFonts w:ascii="Arial" w:hAnsi="Arial"/>
        <w:color w:val="ba8700" w:themeColor="accent5" w:themeTint="9A" w:themeShade="95"/>
        <w:sz w:val="22"/>
      </w:rPr>
    </w:tblStylePr>
    <w:tblStylePr w:type="firstCol">
      <w:rPr>
        <w:rFonts w:ascii="Arial" w:hAnsi="Arial"/>
        <w:i/>
        <w:color w:val="ba870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a870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a870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ba870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ad1a1a" w:themeColor="accent6" w:themeTint="98" w:themeShade="95"/>
        <w:sz w:val="22"/>
      </w:rPr>
      <w:tcPr>
        <w:shd w:val="clear" w:color="ffffff" w:themeColor="accent6" w:themeTint="40" w:fill="f5c2c2" w:themeFill="accent6" w:themeFillTint="40"/>
      </w:tcPr>
    </w:tblStylePr>
    <w:tblStylePr w:type="band1Vert">
      <w:tcPr>
        <w:shd w:val="clear" w:color="ffffff" w:themeColor="accent6" w:themeTint="40" w:fill="f5c2c2" w:themeFill="accent6" w:themeFillTint="40"/>
      </w:tcPr>
    </w:tblStylePr>
    <w:tblStylePr w:type="band2Horz">
      <w:rPr>
        <w:rFonts w:ascii="Arial" w:hAnsi="Arial"/>
        <w:color w:val="ad1a1a" w:themeColor="accent6" w:themeTint="98" w:themeShade="95"/>
        <w:sz w:val="22"/>
      </w:rPr>
    </w:tblStylePr>
    <w:tblStylePr w:type="firstCol">
      <w:rPr>
        <w:rFonts w:ascii="Arial" w:hAnsi="Arial"/>
        <w:i/>
        <w:color w:val="ad1a1a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d1a1a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d1a1a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ad1a1a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a3fc95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1ebe03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bce7fd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36b8fb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fdd2ba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43c03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3bafd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dc33fa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ffefb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c99c00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7cccc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c9211e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widowControl/>
    </w:pPr>
    <w:rPr>
      <w:rFonts w:ascii="Liberation Serif" w:hAnsi="Liberation Serif" w:eastAsia="Droid Sans Fallback" w:cs="Droid Sans Devanagari"/>
      <w:color w:val="auto"/>
      <w:sz w:val="24"/>
      <w:szCs w:val="24"/>
      <w:lang w:val="ru-RU" w:eastAsia="zh-CN" w:bidi="hi-IN"/>
    </w:rPr>
  </w:style>
  <w:style w:type="paragraph" w:styleId="618">
    <w:name w:val="Заголовок"/>
    <w:basedOn w:val="617"/>
    <w:next w:val="619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619">
    <w:name w:val="Body Text"/>
    <w:basedOn w:val="617"/>
    <w:pPr>
      <w:spacing w:before="0" w:after="140" w:line="276" w:lineRule="auto"/>
    </w:pPr>
  </w:style>
  <w:style w:type="paragraph" w:styleId="620">
    <w:name w:val="List"/>
    <w:basedOn w:val="619"/>
    <w:rPr>
      <w:rFonts w:cs="Droid Sans Devanagari"/>
    </w:rPr>
  </w:style>
  <w:style w:type="paragraph" w:styleId="621">
    <w:name w:val="Caption"/>
    <w:basedOn w:val="617"/>
    <w:qFormat/>
    <w:pPr>
      <w:spacing w:before="120" w:after="120"/>
      <w:suppressLineNumbers/>
    </w:pPr>
    <w:rPr>
      <w:rFonts w:cs="Droid Sans Devanagari"/>
      <w:i/>
      <w:iCs/>
      <w:sz w:val="24"/>
      <w:szCs w:val="24"/>
    </w:rPr>
  </w:style>
  <w:style w:type="paragraph" w:styleId="622">
    <w:name w:val="Указатель"/>
    <w:basedOn w:val="617"/>
    <w:qFormat/>
    <w:pPr>
      <w:suppressLineNumbers/>
    </w:pPr>
    <w:rPr>
      <w:rFonts w:cs="Droid Sans Devanagari"/>
    </w:rPr>
  </w:style>
  <w:style w:type="character" w:styleId="637" w:default="1">
    <w:name w:val="Default Paragraph Font"/>
    <w:uiPriority w:val="1"/>
    <w:semiHidden/>
    <w:unhideWhenUsed/>
  </w:style>
  <w:style w:type="numbering" w:styleId="638" w:default="1">
    <w:name w:val="No List"/>
    <w:uiPriority w:val="99"/>
    <w:semiHidden/>
    <w:unhideWhenUsed/>
  </w:style>
  <w:style w:type="table" w:styleId="6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</cp:revision>
  <dcterms:created xsi:type="dcterms:W3CDTF">2021-11-23T23:56:10Z</dcterms:created>
  <dcterms:modified xsi:type="dcterms:W3CDTF">2024-08-21T13:12:58Z</dcterms:modified>
</cp:coreProperties>
</file>