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77" w:rsidRDefault="00BB4C04" w:rsidP="00BB4C04">
      <w:pPr>
        <w:pStyle w:val="a3"/>
        <w:spacing w:line="360" w:lineRule="auto"/>
        <w:ind w:left="425" w:right="3" w:firstLine="709"/>
        <w:jc w:val="center"/>
        <w:rPr>
          <w:b/>
          <w:noProof/>
          <w:lang w:eastAsia="ru-RU"/>
        </w:rPr>
      </w:pPr>
      <w:r w:rsidRPr="00BB4C04">
        <w:rPr>
          <w:b/>
          <w:noProof/>
          <w:lang w:eastAsia="ru-RU"/>
        </w:rPr>
        <w:t>Информация о состоянии детского дорожно-транспортного травматизма за январь 2025 года</w:t>
      </w:r>
    </w:p>
    <w:p w:rsidR="00BB4C04" w:rsidRPr="00BB4C04" w:rsidRDefault="00BB4C04" w:rsidP="00BB4C04">
      <w:pPr>
        <w:pStyle w:val="a3"/>
        <w:spacing w:line="360" w:lineRule="auto"/>
        <w:ind w:left="425" w:right="3" w:firstLine="709"/>
        <w:jc w:val="center"/>
        <w:rPr>
          <w:b/>
          <w:noProof/>
          <w:lang w:eastAsia="ru-RU"/>
        </w:rPr>
      </w:pPr>
    </w:p>
    <w:p w:rsidR="00526E77" w:rsidRDefault="00BB4C04">
      <w:pPr>
        <w:pStyle w:val="a3"/>
        <w:spacing w:line="360" w:lineRule="auto"/>
        <w:ind w:left="425" w:right="4" w:firstLine="709"/>
        <w:jc w:val="both"/>
      </w:pPr>
      <w:r>
        <w:t>По итогам января 2025 г. на территории региона обстановка с детским дорожно-транспортным травматизмом остается напряженной. Число ДТП увеличилось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10%</w:t>
      </w:r>
      <w:r>
        <w:rPr>
          <w:spacing w:val="80"/>
          <w:w w:val="150"/>
        </w:rPr>
        <w:t xml:space="preserve"> </w:t>
      </w:r>
      <w:r>
        <w:t>(с</w:t>
      </w:r>
      <w:r>
        <w:rPr>
          <w:spacing w:val="80"/>
          <w:w w:val="150"/>
        </w:rPr>
        <w:t xml:space="preserve"> </w:t>
      </w:r>
      <w:r>
        <w:t>20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22),</w:t>
      </w:r>
      <w:r>
        <w:rPr>
          <w:spacing w:val="80"/>
          <w:w w:val="150"/>
        </w:rPr>
        <w:t xml:space="preserve"> </w:t>
      </w:r>
      <w:r>
        <w:t>погиб</w:t>
      </w:r>
      <w:r>
        <w:rPr>
          <w:spacing w:val="80"/>
          <w:w w:val="150"/>
        </w:rPr>
        <w:t xml:space="preserve"> </w:t>
      </w:r>
      <w:r>
        <w:t>один</w:t>
      </w:r>
      <w:r>
        <w:rPr>
          <w:spacing w:val="80"/>
          <w:w w:val="150"/>
        </w:rPr>
        <w:t xml:space="preserve"> </w:t>
      </w:r>
      <w:r>
        <w:t xml:space="preserve">несовершеннолетний (январь 2024 г. - 0), число пострадавших увеличилось на </w:t>
      </w:r>
      <w:r>
        <w:t xml:space="preserve">25% (с 20 </w:t>
      </w:r>
      <w:proofErr w:type="gramStart"/>
      <w:r>
        <w:t>до</w:t>
      </w:r>
      <w:proofErr w:type="gramEnd"/>
      <w:r>
        <w:t xml:space="preserve"> 25).</w:t>
      </w:r>
    </w:p>
    <w:p w:rsidR="00526E77" w:rsidRDefault="00BB4C04">
      <w:pPr>
        <w:pStyle w:val="a3"/>
        <w:spacing w:line="360" w:lineRule="auto"/>
        <w:ind w:left="425" w:right="5" w:firstLine="709"/>
        <w:jc w:val="both"/>
      </w:pPr>
      <w:r>
        <w:t>Рост</w:t>
      </w:r>
      <w:r>
        <w:rPr>
          <w:spacing w:val="80"/>
          <w:w w:val="150"/>
        </w:rPr>
        <w:t xml:space="preserve"> </w:t>
      </w:r>
      <w:r>
        <w:t>дорожно-транспортных</w:t>
      </w:r>
      <w:r>
        <w:rPr>
          <w:spacing w:val="80"/>
          <w:w w:val="150"/>
        </w:rPr>
        <w:t xml:space="preserve"> </w:t>
      </w:r>
      <w:r>
        <w:t>происшествий</w:t>
      </w:r>
      <w:r>
        <w:rPr>
          <w:spacing w:val="80"/>
          <w:w w:val="150"/>
        </w:rPr>
        <w:t xml:space="preserve"> </w:t>
      </w:r>
      <w:r>
        <w:t>допущен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 xml:space="preserve">13 муниципальных и городских округов. В </w:t>
      </w:r>
      <w:proofErr w:type="spellStart"/>
      <w:r>
        <w:t>г</w:t>
      </w:r>
      <w:proofErr w:type="gramStart"/>
      <w:r>
        <w:t>.Б</w:t>
      </w:r>
      <w:proofErr w:type="gramEnd"/>
      <w:r>
        <w:t>ор</w:t>
      </w:r>
      <w:proofErr w:type="spellEnd"/>
      <w:r>
        <w:t xml:space="preserve"> и </w:t>
      </w:r>
      <w:proofErr w:type="spellStart"/>
      <w:r>
        <w:t>Сергачском</w:t>
      </w:r>
      <w:proofErr w:type="spellEnd"/>
      <w:r>
        <w:t xml:space="preserve"> муниципальном округе наблюдается рост ДТП с участием детей-пешеходов.</w:t>
      </w:r>
    </w:p>
    <w:p w:rsidR="00526E77" w:rsidRDefault="00BB4C04">
      <w:pPr>
        <w:pStyle w:val="a3"/>
        <w:spacing w:line="360" w:lineRule="auto"/>
        <w:ind w:left="425" w:right="3" w:firstLine="709"/>
        <w:jc w:val="both"/>
      </w:pPr>
      <w:r>
        <w:t xml:space="preserve">Наблюдается увеличение на 100% (с 8 до 16) числа аварий с участием детей-пассажиров, рост подобных ДТП зафиксирован в округах: г. Н. Новгород, г. Бор, </w:t>
      </w:r>
      <w:proofErr w:type="spellStart"/>
      <w:r>
        <w:t>Балахнинский</w:t>
      </w:r>
      <w:proofErr w:type="spellEnd"/>
      <w:r>
        <w:t xml:space="preserve">, </w:t>
      </w:r>
      <w:proofErr w:type="spellStart"/>
      <w:r>
        <w:t>Бутурлинский</w:t>
      </w:r>
      <w:proofErr w:type="spellEnd"/>
      <w:r>
        <w:t xml:space="preserve">, Володарский, </w:t>
      </w:r>
      <w:proofErr w:type="spellStart"/>
      <w:r>
        <w:t>Дивеевский</w:t>
      </w:r>
      <w:proofErr w:type="spellEnd"/>
      <w:r>
        <w:t xml:space="preserve">, </w:t>
      </w:r>
      <w:proofErr w:type="spellStart"/>
      <w:r>
        <w:t>Кстовский</w:t>
      </w:r>
      <w:proofErr w:type="spellEnd"/>
      <w:r>
        <w:t xml:space="preserve">, </w:t>
      </w:r>
      <w:proofErr w:type="spellStart"/>
      <w:r>
        <w:t>Лукояновский</w:t>
      </w:r>
      <w:proofErr w:type="spellEnd"/>
      <w:r>
        <w:t xml:space="preserve">, </w:t>
      </w:r>
      <w:proofErr w:type="spellStart"/>
      <w:r>
        <w:t>Навашинский</w:t>
      </w:r>
      <w:proofErr w:type="spellEnd"/>
      <w:r>
        <w:t xml:space="preserve">, </w:t>
      </w:r>
      <w:proofErr w:type="spellStart"/>
      <w:r>
        <w:t>Сокольский</w:t>
      </w:r>
      <w:proofErr w:type="spellEnd"/>
      <w:r>
        <w:t xml:space="preserve">, </w:t>
      </w:r>
      <w:proofErr w:type="spellStart"/>
      <w:r>
        <w:t>Ша</w:t>
      </w:r>
      <w:r>
        <w:t>рангский</w:t>
      </w:r>
      <w:proofErr w:type="spellEnd"/>
      <w:r>
        <w:t xml:space="preserve">, </w:t>
      </w:r>
      <w:proofErr w:type="spellStart"/>
      <w:r>
        <w:t>Шатковский</w:t>
      </w:r>
      <w:proofErr w:type="spellEnd"/>
      <w:r>
        <w:t>.</w:t>
      </w:r>
    </w:p>
    <w:p w:rsidR="00526E77" w:rsidRDefault="00BB4C04">
      <w:pPr>
        <w:pStyle w:val="a3"/>
        <w:spacing w:line="360" w:lineRule="auto"/>
        <w:ind w:left="425" w:right="3" w:firstLine="709"/>
        <w:jc w:val="both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январе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отмечается</w:t>
      </w:r>
      <w:r>
        <w:rPr>
          <w:spacing w:val="-5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20%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6)</w:t>
      </w:r>
      <w:r>
        <w:rPr>
          <w:spacing w:val="-5"/>
        </w:rPr>
        <w:t xml:space="preserve"> </w:t>
      </w:r>
      <w:r>
        <w:t>числа дорожных происшествий с участием детей-пешеходов.</w:t>
      </w:r>
      <w:bookmarkStart w:id="0" w:name="_GoBack"/>
      <w:bookmarkEnd w:id="0"/>
    </w:p>
    <w:sectPr w:rsidR="00526E77">
      <w:pgSz w:w="11910" w:h="16840"/>
      <w:pgMar w:top="3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0655"/>
    <w:multiLevelType w:val="hybridMultilevel"/>
    <w:tmpl w:val="24C290C4"/>
    <w:lvl w:ilvl="0" w:tplc="4A5283C6">
      <w:start w:val="1"/>
      <w:numFmt w:val="decimal"/>
      <w:lvlText w:val="%1."/>
      <w:lvlJc w:val="left"/>
      <w:pPr>
        <w:ind w:left="426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E2050E">
      <w:numFmt w:val="bullet"/>
      <w:lvlText w:val="•"/>
      <w:lvlJc w:val="left"/>
      <w:pPr>
        <w:ind w:left="1398" w:hanging="731"/>
      </w:pPr>
      <w:rPr>
        <w:rFonts w:hint="default"/>
        <w:lang w:val="ru-RU" w:eastAsia="en-US" w:bidi="ar-SA"/>
      </w:rPr>
    </w:lvl>
    <w:lvl w:ilvl="2" w:tplc="6D689556">
      <w:numFmt w:val="bullet"/>
      <w:lvlText w:val="•"/>
      <w:lvlJc w:val="left"/>
      <w:pPr>
        <w:ind w:left="2377" w:hanging="731"/>
      </w:pPr>
      <w:rPr>
        <w:rFonts w:hint="default"/>
        <w:lang w:val="ru-RU" w:eastAsia="en-US" w:bidi="ar-SA"/>
      </w:rPr>
    </w:lvl>
    <w:lvl w:ilvl="3" w:tplc="6CFC7DCC">
      <w:numFmt w:val="bullet"/>
      <w:lvlText w:val="•"/>
      <w:lvlJc w:val="left"/>
      <w:pPr>
        <w:ind w:left="3355" w:hanging="731"/>
      </w:pPr>
      <w:rPr>
        <w:rFonts w:hint="default"/>
        <w:lang w:val="ru-RU" w:eastAsia="en-US" w:bidi="ar-SA"/>
      </w:rPr>
    </w:lvl>
    <w:lvl w:ilvl="4" w:tplc="97DE84AE">
      <w:numFmt w:val="bullet"/>
      <w:lvlText w:val="•"/>
      <w:lvlJc w:val="left"/>
      <w:pPr>
        <w:ind w:left="4334" w:hanging="731"/>
      </w:pPr>
      <w:rPr>
        <w:rFonts w:hint="default"/>
        <w:lang w:val="ru-RU" w:eastAsia="en-US" w:bidi="ar-SA"/>
      </w:rPr>
    </w:lvl>
    <w:lvl w:ilvl="5" w:tplc="8862C066">
      <w:numFmt w:val="bullet"/>
      <w:lvlText w:val="•"/>
      <w:lvlJc w:val="left"/>
      <w:pPr>
        <w:ind w:left="5313" w:hanging="731"/>
      </w:pPr>
      <w:rPr>
        <w:rFonts w:hint="default"/>
        <w:lang w:val="ru-RU" w:eastAsia="en-US" w:bidi="ar-SA"/>
      </w:rPr>
    </w:lvl>
    <w:lvl w:ilvl="6" w:tplc="C114D6EA">
      <w:numFmt w:val="bullet"/>
      <w:lvlText w:val="•"/>
      <w:lvlJc w:val="left"/>
      <w:pPr>
        <w:ind w:left="6291" w:hanging="731"/>
      </w:pPr>
      <w:rPr>
        <w:rFonts w:hint="default"/>
        <w:lang w:val="ru-RU" w:eastAsia="en-US" w:bidi="ar-SA"/>
      </w:rPr>
    </w:lvl>
    <w:lvl w:ilvl="7" w:tplc="916A2CCC">
      <w:numFmt w:val="bullet"/>
      <w:lvlText w:val="•"/>
      <w:lvlJc w:val="left"/>
      <w:pPr>
        <w:ind w:left="7270" w:hanging="731"/>
      </w:pPr>
      <w:rPr>
        <w:rFonts w:hint="default"/>
        <w:lang w:val="ru-RU" w:eastAsia="en-US" w:bidi="ar-SA"/>
      </w:rPr>
    </w:lvl>
    <w:lvl w:ilvl="8" w:tplc="E246530C">
      <w:numFmt w:val="bullet"/>
      <w:lvlText w:val="•"/>
      <w:lvlJc w:val="left"/>
      <w:pPr>
        <w:ind w:left="8248" w:hanging="7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6E77"/>
    <w:rsid w:val="00526E77"/>
    <w:rsid w:val="00BB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745" w:right="444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5" w:right="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B4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0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745" w:right="444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5" w:right="3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B4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C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</dc:creator>
  <cp:keywords>Бланки, шаблоны</cp:keywords>
  <cp:lastModifiedBy>Компьютер</cp:lastModifiedBy>
  <cp:revision>2</cp:revision>
  <dcterms:created xsi:type="dcterms:W3CDTF">2025-02-26T07:49:00Z</dcterms:created>
  <dcterms:modified xsi:type="dcterms:W3CDTF">2025-02-26T07:56:00Z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2025-02-26T00:00:00Z</vt:filetime>
  </property>
  <property fmtid="{D5CDD505-2E9C-101B-9397-08002B2CF9AE}" pid="5" name="Producer">
    <vt:lpwstr>r7-office/7.4.0.112; modified using iText® 7.1.11 ©2000-2020 iText Group NV (AGPL-version)</vt:lpwstr>
  </property>
</Properties>
</file>