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3"/>
        <w:gridCol w:w="240"/>
        <w:gridCol w:w="2193"/>
        <w:gridCol w:w="1026"/>
        <w:gridCol w:w="1026"/>
        <w:gridCol w:w="1325"/>
        <w:gridCol w:w="4560"/>
        <w:gridCol w:w="220"/>
        <w:gridCol w:w="253"/>
      </w:tblGrid>
      <w:tr w:rsidR="008B71B2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10755" w:type="dxa"/>
              <w:tblInd w:w="0" w:type="dxa"/>
              <w:tblLayout w:type="fixed"/>
              <w:tblLook w:val="0600"/>
            </w:tblPr>
            <w:tblGrid>
              <w:gridCol w:w="10755"/>
            </w:tblGrid>
            <w:tr w:rsidR="008B71B2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8B71B2" w:rsidRDefault="00CB3C5D">
                  <w:pPr>
                    <w:pStyle w:val="10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9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16"/>
        <w:gridCol w:w="2644"/>
        <w:gridCol w:w="220"/>
        <w:gridCol w:w="427"/>
        <w:gridCol w:w="2751"/>
        <w:gridCol w:w="220"/>
      </w:tblGrid>
      <w:tr w:rsidR="008B71B2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tbl>
            <w:tblPr>
              <w:tblStyle w:val="aa"/>
              <w:tblW w:w="27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705"/>
            </w:tblGrid>
            <w:tr w:rsidR="008B71B2">
              <w:trPr>
                <w:trHeight w:val="1000"/>
              </w:trPr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B71B2" w:rsidRDefault="008B71B2">
                  <w:pPr>
                    <w:pStyle w:val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b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781"/>
            </w:tblGrid>
            <w:tr w:rsidR="008B71B2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CB3C5D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Барсукова</w:t>
                  </w:r>
                  <w:proofErr w:type="spellEnd"/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Обобщенные результаты сбора, обобщения и анализа информации о качестве оказания услуг </w:t>
      </w:r>
      <w:r w:rsidR="00551411"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№99»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Pr="00551411" w:rsidRDefault="00551411" w:rsidP="0055141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411">
        <w:rPr>
          <w:rFonts w:ascii="Times New Roman" w:eastAsia="Times New Roman" w:hAnsi="Times New Roman" w:cs="Times New Roman"/>
          <w:sz w:val="24"/>
          <w:szCs w:val="24"/>
        </w:rPr>
        <w:t>Тип организаций (учреждений), участвовавших в процедуре: организации, осуществляющие образовательную деятельность</w:t>
      </w: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 задании к договору (контракту), в рамках которой проводилась данная процедура.</w:t>
      </w: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- 2023 год.</w:t>
      </w: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проанализированной информации рассчитан  - итоговый показатель оценки качества организации.</w:t>
      </w: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d"/>
        <w:tblpPr w:leftFromText="180" w:rightFromText="180" w:vertAnchor="text" w:horzAnchor="page" w:tblpX="2766" w:tblpY="179"/>
        <w:tblW w:w="7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20"/>
        <w:gridCol w:w="4125"/>
        <w:gridCol w:w="2850"/>
      </w:tblGrid>
      <w:tr w:rsidR="00E067F7" w:rsidTr="00E067F7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</w:tr>
      <w:tr w:rsidR="00E067F7" w:rsidTr="00E067F7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67F7" w:rsidRDefault="00E067F7" w:rsidP="00E067F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</w:tr>
    </w:tbl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Открытость,  Комфортность, Доступность услуг, Доброжелательность, Удовлетворенность. 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10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43"/>
        <w:gridCol w:w="1418"/>
        <w:gridCol w:w="1417"/>
        <w:gridCol w:w="1701"/>
        <w:gridCol w:w="1559"/>
        <w:gridCol w:w="1276"/>
        <w:gridCol w:w="1701"/>
      </w:tblGrid>
      <w:tr w:rsidR="008B71B2" w:rsidTr="00551411">
        <w:trPr>
          <w:trHeight w:val="1010"/>
        </w:trPr>
        <w:tc>
          <w:tcPr>
            <w:tcW w:w="19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14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</w:t>
            </w:r>
          </w:p>
        </w:tc>
        <w:tc>
          <w:tcPr>
            <w:tcW w:w="155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услуг</w:t>
            </w:r>
          </w:p>
        </w:tc>
        <w:tc>
          <w:tcPr>
            <w:tcW w:w="127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</w:t>
            </w:r>
            <w:r w:rsid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8B71B2" w:rsidRPr="00551411" w:rsidTr="00551411">
        <w:trPr>
          <w:trHeight w:val="614"/>
        </w:trPr>
        <w:tc>
          <w:tcPr>
            <w:tcW w:w="19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МБДОУ «Детский сад №99»</w:t>
            </w:r>
          </w:p>
        </w:tc>
        <w:tc>
          <w:tcPr>
            <w:tcW w:w="14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76,50</w:t>
            </w:r>
          </w:p>
        </w:tc>
        <w:tc>
          <w:tcPr>
            <w:tcW w:w="14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78,4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155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27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93,4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985BBD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96,2</w:t>
            </w:r>
          </w:p>
        </w:tc>
      </w:tr>
    </w:tbl>
    <w:p w:rsidR="00551411" w:rsidRDefault="00551411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ОБОБЩЕННЫЕ ВЫВОДЫ И РЕКОМЕНДАЦИИ ПО РЕЗУЛЬТАТАМ СБОРА, ОБОБЩЕНИЯ И АНАЛИЗА ИНФОРМАЦИИ</w:t>
      </w: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8"/>
        <w:gridCol w:w="2492"/>
      </w:tblGrid>
      <w:tr w:rsidR="008B71B2" w:rsidTr="00551411">
        <w:trPr>
          <w:trHeight w:val="344"/>
        </w:trPr>
        <w:tc>
          <w:tcPr>
            <w:tcW w:w="8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551411" w:rsidP="0055141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71B2" w:rsidTr="00551411">
        <w:trPr>
          <w:trHeight w:val="322"/>
        </w:trPr>
        <w:tc>
          <w:tcPr>
            <w:tcW w:w="8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551411" w:rsidP="0055141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71B2" w:rsidTr="00551411">
        <w:trPr>
          <w:trHeight w:val="327"/>
        </w:trPr>
        <w:tc>
          <w:tcPr>
            <w:tcW w:w="8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551411" w:rsidP="0055141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71B2" w:rsidTr="00551411">
        <w:trPr>
          <w:trHeight w:val="401"/>
        </w:trPr>
        <w:tc>
          <w:tcPr>
            <w:tcW w:w="8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551411" w:rsidP="0055141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71B2" w:rsidTr="00551411">
        <w:trPr>
          <w:trHeight w:val="400"/>
        </w:trPr>
        <w:tc>
          <w:tcPr>
            <w:tcW w:w="8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CB3C5D" w:rsidP="0055141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41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2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551411" w:rsidRDefault="00551411" w:rsidP="0055141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8B71B2" w:rsidRDefault="008B71B2" w:rsidP="00985BB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 w:rsidP="00985BB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другими.*</w:t>
      </w:r>
    </w:p>
    <w:p w:rsidR="008B71B2" w:rsidRDefault="00CB3C5D" w:rsidP="00985BB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 w:rsidP="00985BB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Pr="00D34671" w:rsidRDefault="00CB3C5D" w:rsidP="00985BB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оборудования территории, прилегающей к зданиям организации, и помещений с учетом доступности для инвалидов, выявил следующее:</w:t>
      </w: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B71B2" w:rsidRDefault="008B71B2" w:rsidP="00985BB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96"/>
        <w:gridCol w:w="4349"/>
      </w:tblGrid>
      <w:tr w:rsidR="008B71B2" w:rsidTr="00D34671">
        <w:trPr>
          <w:trHeight w:val="624"/>
        </w:trPr>
        <w:tc>
          <w:tcPr>
            <w:tcW w:w="6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4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</w:t>
            </w:r>
          </w:p>
        </w:tc>
      </w:tr>
      <w:tr w:rsidR="008B71B2" w:rsidTr="00D34671">
        <w:trPr>
          <w:trHeight w:val="605"/>
        </w:trPr>
        <w:tc>
          <w:tcPr>
            <w:tcW w:w="6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4671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</w:t>
            </w:r>
          </w:p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1B2" w:rsidTr="00D34671">
        <w:trPr>
          <w:trHeight w:val="629"/>
        </w:trPr>
        <w:tc>
          <w:tcPr>
            <w:tcW w:w="6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4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  <w:tr w:rsidR="008B71B2" w:rsidTr="00D34671">
        <w:trPr>
          <w:trHeight w:val="455"/>
        </w:trPr>
        <w:tc>
          <w:tcPr>
            <w:tcW w:w="6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4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  <w:tr w:rsidR="008B71B2" w:rsidTr="00D34671">
        <w:trPr>
          <w:trHeight w:val="633"/>
        </w:trPr>
        <w:tc>
          <w:tcPr>
            <w:tcW w:w="6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Pr="00D34671" w:rsidRDefault="00CB3C5D" w:rsidP="00D34671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Pr="00D34671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условий доступности, позволяющих инвалидам получать услуги наравне с другими, выявил следующее:</w:t>
      </w: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188"/>
        <w:gridCol w:w="3327"/>
      </w:tblGrid>
      <w:tr w:rsidR="008B71B2" w:rsidTr="00D34671">
        <w:trPr>
          <w:trHeight w:val="750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  <w:tr w:rsidR="008B71B2" w:rsidTr="00D34671">
        <w:trPr>
          <w:trHeight w:val="810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</w:t>
            </w:r>
          </w:p>
        </w:tc>
      </w:tr>
      <w:tr w:rsidR="008B71B2" w:rsidTr="00D34671">
        <w:trPr>
          <w:trHeight w:val="701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</w:t>
            </w:r>
          </w:p>
        </w:tc>
      </w:tr>
      <w:tr w:rsidR="008B71B2" w:rsidTr="00D34671">
        <w:trPr>
          <w:trHeight w:val="471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  <w:tr w:rsidR="008B71B2" w:rsidTr="00D34671">
        <w:trPr>
          <w:trHeight w:val="918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 </w:t>
            </w:r>
          </w:p>
        </w:tc>
      </w:tr>
      <w:tr w:rsidR="008B71B2" w:rsidTr="00D34671">
        <w:trPr>
          <w:trHeight w:val="721"/>
        </w:trPr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33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4366C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3"/>
        <w:tblW w:w="10755" w:type="dxa"/>
        <w:tblInd w:w="-60" w:type="dxa"/>
        <w:tblLayout w:type="fixed"/>
        <w:tblLook w:val="0600"/>
      </w:tblPr>
      <w:tblGrid>
        <w:gridCol w:w="10755"/>
      </w:tblGrid>
      <w:tr w:rsidR="008B71B2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Федерации.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 науки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71B2" w:rsidRPr="00D34671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671"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4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464"/>
        <w:gridCol w:w="2051"/>
      </w:tblGrid>
      <w:tr w:rsidR="008B71B2" w:rsidTr="00D34671">
        <w:trPr>
          <w:trHeight w:val="60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полном и сокращенном (при наличии)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наименовании образовательной организации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7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8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 (учредителях)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о наименовании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образовательной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(при наличии) (в том числе,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Российской Федерации)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1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ее представительств и филиалов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0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 и графике работы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ее представительств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филиалов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3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адресах официальных сайтов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(при наличии) или страницах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информационно-телекоммуникационной сети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3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образовательной организации, ее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местах осуществления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в том числе сведения об адресах мест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образовательной деятельности, которые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4 статьи 91 Федерального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от 29 декабря 2012 г. № 273-ФЗ «Об образовании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 не включаются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соответствующую запись в реестре лицензий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структуре и об органах управления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(в том числе: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структурных подразделений (органов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управления); фамилии, имена, отчества (при наличии)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должности руководителей структурных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подразделений; места нахождения структурных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(органов управления)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наличии); адреса официальных сайтов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 структурных подразделений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наличии); адреса электронной почты структурных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(органов управления)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подразделениях (об органах управления) с приложением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 положений в виде электронных документов,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подписанных простой электронной подписью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6 апреля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г. № 63-ФЗ «Об электронной подписи»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(выписка из реестра лицензий на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 деятельности)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24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реализуемых уровнях образования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8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6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нормативных сроках обучения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09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сроке действия государственной аккредитации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аккредитации), общественной,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 общественной,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57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на котором(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осуществляется образование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(обучение)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4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учебных предметах, курсах, дисциплинах (модулях),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соответствующей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1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соответствующей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программой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1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при реализации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13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учебном плане с приложением его в виде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6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аннотации к рабочим программам дисциплин (по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учебному предмету, курсу, дисциплине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(модулю), практики, в составе образовательной</w:t>
            </w:r>
            <w:proofErr w:type="gramEnd"/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 с приложением рабочих программ в виде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83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календарном учебном графике с приложением его 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 электронного документа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15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методических и иных документах, разработанных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для обеспечения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а также рабочей программы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календарного плана воспитательной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включаемых в основные образовательные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соответствии с частью 1 статьи 12.1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 декабря 2012 г. № 273-ФЗ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Федерации», в виде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82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общей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21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численности обучающихся за счет бюджетных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бюджетов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 и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образовании, заключаемых при приеме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обучение за счет средств физических и (или)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 (в том числе с выделением численности обучающихся, являющихся иностранными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9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программы, дополнительно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наименование образовательной программы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6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2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коде и наименовании профессии, специальности,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08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направлениях и результатах научной (научно-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исследовательской) деятельности (при осуществлении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(научно-исследовательской) деятельности)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2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приема по каждой профессии, по каждой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среднего профессионального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(при наличии вступительных испытаний)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места, финансируемые за счет бюджетных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 федерального бюджета, бюджетов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договорам об образовании за счет средств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лиц); о средней сумме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набранных баллов по всем вступительным испытаниям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вступительных испытаний); о результатах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восстановления и отчисления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03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стандартах, федеральных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требованиях, об образовательных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стандартах и самостоятельно устанавливаемых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 (при их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21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его заместителях, руководителях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филиалов, представительств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их наличии), в том числе: фамилия,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 (при наличии) руководителя, его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заместителей; должность руководителя, его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заместителей; контактные телефоны; адреса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</w:t>
            </w:r>
            <w:proofErr w:type="gramEnd"/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3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персональном составе педагогических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с указанием уровня образования,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и опыта работы, в том числе: фамилия,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 (при наличии) педагогического работника;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 (должности); преподаваемые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предметы, курсы, дисциплины (модули);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(уровни) профессионального образования с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 наименования направления подготовки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специальности, в том числе научной,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квалификации; ученая степень (при наличии); ученое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(при наличии); сведения о повышении квалификации (за последние 3 года); сведения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профессиональной переподготовке (при наличии);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сфере, соответствующей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курсов, дисциплин (модулей); наименование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программы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(общеобразовательных программ), код и наименование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специальности (специальностей),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(направлений) подготовки или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укрупненной группы профессий, специальностей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направлений подготовки профессиональной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магистратуры, программам ординатуры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программам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ассистентуры-стажировки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шифр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наименование области науки, группы научных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специальностей, научной специальности программы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(программ) подготовки научных и 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 в аспирантуре (адъюнктуре),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участвует педагогический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88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(в том числе о наличии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учебных кабинетов, объектов для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практических занятий, библиотек, объектов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средств обучения и воспитания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2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8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3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информационно-телекоммуникационным сетям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9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которым обеспечивается доступ обучающихся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82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специально оборудованных учебных кабинетах,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для проведения практических занятий,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библиотек, объектов спорта, средств обучения и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 и лицами с ограниченными возможностями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83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беспрепятственного доступа в здания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49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специальных условиях питания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6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специальных условиях охраны здоровья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52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доступе к информационным системам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информационно-телекоммуникационным сетям,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приспособленным для использования инвалидами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 с ограниченными возможностями здоровья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79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электронных образовательных ресурсах, к которым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доступ инвалидов и лиц с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37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специальных технических средств обучения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 и индивидуального пользования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3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1036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количестве жилых помещений в общежитии,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интернате, приспособленных для использования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 и лицами с ограниченными возможностями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810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заключенных и планируемых к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договорах с иностранными и (или)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международными организациями по вопросам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международной аккредитации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(перевода) по каждой образовательной программе,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специальности, направлению подготовки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места, финансируемые за счет бюджетных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 федерального бюджета, бюджетов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 за счет средств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лиц)</w:t>
            </w:r>
            <w:proofErr w:type="gramEnd"/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стипендий, мер социальной поддержки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приспособленных для использования инвалидами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лицами с ограниченными возможностями здоровья, а также о количестве жилых помещений в общежитии,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интернате для иногородних обучающихся,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платы за проживание в общежитии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(в виде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трудоустроенных выпускников прошлого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образования)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которой осуществляется за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бюджетных ассигнований федерального бюджета,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 субъектов Российской Федерации, местных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бюджетов, по договорам об образовании за счет средств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поступлении финансовых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 по итогам финансового года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расходовании финансовых 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 по итогам финансового года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утвержденного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Российской</w:t>
            </w:r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порядке, или бюджетной сметы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платных образовательных услуг, документ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обучения по каждой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установлении размера платы, взимаемой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родителей (законных представителей) за присмотр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уход детьми, осваивающими образовательные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дошкольного образования в организациях,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 образовательную деятельность,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содержание детей в образовательной организации,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реализующей образовательные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 основного общего или среднего общего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если в такой образовательной организации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проживания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B71B2" w:rsidRDefault="00CB3C5D" w:rsidP="00D346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интернате, либо за осуществление присмотра и ухода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детьми в группах продленного дня в образовательной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реализующей образовательные программы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общего, основного общего или среднего</w:t>
            </w:r>
            <w:r w:rsidR="00D3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D3467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приложениями)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акты, предусмотренные частью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 30 Федерального закона от 29 декабря 2012 г.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основным вопросам организации и осуществления</w:t>
            </w:r>
            <w:proofErr w:type="gramEnd"/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деятельности, в том числе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 правила приема обучающихся,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 обучающихся, формы, периодичность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текущего контроля успеваемости 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порядок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основания перевода, отчисления и восстановления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порядок оформления возникновения,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приостановления и прекращения отношений между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и обучающимися и (или)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обучающихся), а также правила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распорядка обучающихся, правила</w:t>
            </w:r>
          </w:p>
          <w:p w:rsidR="008B71B2" w:rsidRDefault="00CB3C5D" w:rsidP="00522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трудового распорядка и коллективный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6C04C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D34671">
        <w:trPr>
          <w:trHeight w:val="645"/>
        </w:trPr>
        <w:tc>
          <w:tcPr>
            <w:tcW w:w="84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 (надзор) в сфере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отчеты об исполнении таких предписаний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Pr="00522355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235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Также было проанализировано наличие на официальных сайтах информации: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стенде (стендах) информации на соответствие требованиям нормативно-правовой базы: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8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322"/>
        <w:gridCol w:w="2163"/>
      </w:tblGrid>
      <w:tr w:rsidR="008B71B2" w:rsidTr="00522355">
        <w:trPr>
          <w:trHeight w:val="510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 и графике работы образовательной организации, ее представительств и филиалов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образовательной организации,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представительств и филиалов (при наличии)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3000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(в том числе: наименование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 подразделений (органов управления);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имена, отчества (при наличии) и должности</w:t>
            </w:r>
            <w:proofErr w:type="gramEnd"/>
          </w:p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структурных подразделений; места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структурных подразделений (органов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управления) образовательной организации (при наличии);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официальных сайтов в сети «Интернет»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 подразделений (при наличии); адреса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структурных подразделений (органов управления) образовательной организации (при наличии)</w:t>
            </w:r>
            <w:proofErr w:type="gramEnd"/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1D182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667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(выписка из реестра лицензий на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 деятельности)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1D182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604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приложениями) (при наличии)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1D1821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4185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Локальные нормативные акты, предусмотренные частью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 30 Федерального закона от 29 декабря 2012 г.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основным вопросам организации и осуществления</w:t>
            </w:r>
            <w:proofErr w:type="gramEnd"/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деятельности, в том числе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 правила приема обучающихся, режим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обучающихся, формы, периодичность и порядок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контроля успеваемости и промежуточной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обучающихся, порядок и основания перевода,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и восстановления обучающихся, порядок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возникновения, приостановления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прекращения отношений между образовательной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обучающимися и (или) родителями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(законными представителями) несовершеннолетних</w:t>
            </w:r>
          </w:p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а также правила внутреннего распорядка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правила внутреннего трудового распорядка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коллективный договор (при наличии)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930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 платных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 документ об утверждении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каждой образовательной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1256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аккредитации), общественной,</w:t>
            </w:r>
          </w:p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 общественной,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аккредитации)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626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учебном плане с приложением его в виде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300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программы, дополнительно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наименование образовательной программы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2520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результатах приема по каждой профессии,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каждой специальности среднего профессионального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(при наличии вступительных испытаний) (на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финансируемые за счет бюджетных ассигнований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бюджета, бюджетов субъектов Российской</w:t>
            </w:r>
            <w:proofErr w:type="gramEnd"/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местных бюджетов и по договорам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образовании за счет средств физических и (или)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лиц); о средней сумме набранных баллов по</w:t>
            </w:r>
            <w:proofErr w:type="gramEnd"/>
          </w:p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вступительным испытаниям (при наличии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испытаний), а также о результатах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восстановления и отчисления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1579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его заместителях, руководителях филиалов,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образовательной организации (при их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наличии), в том числе: фамилия, имя, отчество (при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руководителя, его заместителей; должность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 его заместителей; контактные телефоны;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</w:t>
            </w:r>
            <w:proofErr w:type="gramEnd"/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425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1066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 w:rsidP="0052235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 о порядке оказания платных образовательных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 платных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 документ об утверждении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каждой образовательной</w:t>
            </w:r>
            <w:r w:rsid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 w:rsidTr="00522355">
        <w:trPr>
          <w:trHeight w:val="435"/>
        </w:trPr>
        <w:tc>
          <w:tcPr>
            <w:tcW w:w="832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специальных условиях питания</w:t>
            </w:r>
          </w:p>
        </w:tc>
        <w:tc>
          <w:tcPr>
            <w:tcW w:w="2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71B2" w:rsidRDefault="00CB3C5D" w:rsidP="001D1821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522355" w:rsidRDefault="00522355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1B2" w:rsidRPr="00522355" w:rsidRDefault="0052235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5">
        <w:rPr>
          <w:rFonts w:ascii="Times New Roman" w:hAnsi="Times New Roman" w:cs="Times New Roman"/>
          <w:b/>
          <w:sz w:val="24"/>
          <w:szCs w:val="24"/>
        </w:rPr>
        <w:t>Н</w:t>
      </w:r>
      <w:r w:rsidR="00CB3C5D" w:rsidRPr="00522355">
        <w:rPr>
          <w:rFonts w:ascii="Times New Roman" w:eastAsia="Times New Roman" w:hAnsi="Times New Roman" w:cs="Times New Roman"/>
          <w:b/>
          <w:sz w:val="24"/>
          <w:szCs w:val="24"/>
        </w:rPr>
        <w:t xml:space="preserve">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</w:t>
      </w:r>
      <w:proofErr w:type="gramStart"/>
      <w:r w:rsidR="00CB3C5D" w:rsidRPr="00522355">
        <w:rPr>
          <w:rFonts w:ascii="Times New Roman" w:eastAsia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="00CB3C5D" w:rsidRPr="0052235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ОРГАНИЗАЦИЯМИ, СЛЕДУЮЩИЕ ВОПРОСЫ:</w:t>
      </w:r>
    </w:p>
    <w:p w:rsidR="008B71B2" w:rsidRPr="00522355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Pr="00522355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ИНФОРМАЦИЯ</w:t>
      </w:r>
    </w:p>
    <w:p w:rsidR="008B71B2" w:rsidRPr="00522355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8B71B2" w:rsidRPr="00522355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Pr="00522355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8B71B2" w:rsidRPr="00522355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8B71B2" w:rsidRPr="00522355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  <w:r w:rsidR="00522355">
        <w:rPr>
          <w:rFonts w:ascii="Times New Roman" w:eastAsia="Times New Roman" w:hAnsi="Times New Roman" w:cs="Times New Roman"/>
          <w:b/>
          <w:sz w:val="24"/>
          <w:szCs w:val="24"/>
        </w:rPr>
        <w:t xml:space="preserve"> (только </w:t>
      </w:r>
      <w:proofErr w:type="spellStart"/>
      <w:r w:rsidR="00522355">
        <w:rPr>
          <w:rFonts w:ascii="Times New Roman" w:eastAsia="Times New Roman" w:hAnsi="Times New Roman" w:cs="Times New Roman"/>
          <w:b/>
          <w:sz w:val="24"/>
          <w:szCs w:val="24"/>
        </w:rPr>
        <w:t>Сормовский</w:t>
      </w:r>
      <w:proofErr w:type="spellEnd"/>
      <w:r w:rsidR="0052235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район)</w:t>
      </w:r>
    </w:p>
    <w:p w:rsidR="008B71B2" w:rsidRPr="00522355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8322"/>
        <w:gridCol w:w="2126"/>
      </w:tblGrid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№28»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88,56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«Школа №156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им.Б.И.Рябцева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87,82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№332 «Березка»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87,04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№365»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№450»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85,34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№52 «Ладушки»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№464 «Лукоморье»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№229 «Дельфин»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83,14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№460»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83,08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 с углубленным изучением отдельных предметов №85»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№396 «Подсолнушек»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80,92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№393»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79,78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№96»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№467»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79,18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№95»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МАДОУ №456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78,86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№82»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78,52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«ЦДТ Сормовского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№101»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77,66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МБДОУ «Детский сад №99»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76,5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№457»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76,28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76,14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N 388»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76,04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№402 «Золотая рыбка»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74,94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№26»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74,84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 Детский сад №421»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«ДООЦ «Александровка»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№391»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74,14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 №78»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74,06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№117»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№144»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73,96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№270»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№98»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73,32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№323 «Сказка»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72,26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№215 «Калинка»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72,02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 №84»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№363 «Камертон»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71,78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№190»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71,34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 №79 им. Н. А. Зайцева»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71,32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№76»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№360 «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70,52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№211»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70,02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№77 «Василек»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67,58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№382 «Кораблик»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67,12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«Детский сад №301»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67,06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№144»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61,64</w:t>
            </w:r>
          </w:p>
        </w:tc>
      </w:tr>
      <w:tr w:rsidR="008B71B2" w:rsidRPr="00522355" w:rsidTr="006C04CC">
        <w:trPr>
          <w:trHeight w:val="111"/>
        </w:trPr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«Школа №81»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Pr="00522355" w:rsidRDefault="00CB3C5D" w:rsidP="0052235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60,88</w:t>
            </w:r>
          </w:p>
        </w:tc>
      </w:tr>
    </w:tbl>
    <w:p w:rsidR="008B71B2" w:rsidRDefault="008B71B2" w:rsidP="00522355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возможность предоставления услуг в дистанционном режиме или на дому; дублирование для инвалидов по слуху и зрению звуковой и зрительной информации;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Также рекомендуется обратить внимание и принять меры в отношении следующих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показателей независимой 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комфортных условий, в которых 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анитарное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 помещений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26438E" w:rsidRPr="00522355" w:rsidTr="00E067F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Pr="00522355" w:rsidRDefault="0026438E" w:rsidP="00E067F7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РЕЗУЛЬТАТЫ. ОРГАНИЗАЦИЯ: МБДОУ «Детский сад №99»</w:t>
            </w:r>
          </w:p>
        </w:tc>
      </w:tr>
    </w:tbl>
    <w:p w:rsidR="0026438E" w:rsidRPr="00522355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26438E" w:rsidRPr="00522355" w:rsidTr="00E067F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Pr="00522355" w:rsidRDefault="0026438E" w:rsidP="00E067F7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- 76,5; Численность обучающихся - 241;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- 147; Доля респондентов - 0,61; К1 - 78,4;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- 46;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- 71; - 65; К2 - 76;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- 76;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- 52; К3 - 38,5;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- 75;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К4 - 93,4;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онт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- 98;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- 144;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- 97;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- 143;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- 77;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- 113; К5 - 96,2;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- 95;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- 140;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- 141;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- 96;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- 142; Пуд - 97;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- 142; Пуд - 97. Сокращения и пояснения приведены на странице 2.</w:t>
            </w:r>
          </w:p>
        </w:tc>
      </w:tr>
    </w:tbl>
    <w:p w:rsidR="0026438E" w:rsidRPr="00522355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26438E" w:rsidRPr="00522355" w:rsidTr="00E067F7">
        <w:trPr>
          <w:trHeight w:val="388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Pr="00522355" w:rsidRDefault="0026438E" w:rsidP="00E067F7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(ОТСУТСТВИИ) УСЛОВИЙ ОКАЗАНИЯ УСЛУГ: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  <w:proofErr w:type="gramEnd"/>
          </w:p>
        </w:tc>
      </w:tr>
    </w:tbl>
    <w:p w:rsidR="0026438E" w:rsidRPr="00522355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8E" w:rsidRPr="00522355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ИНФОРМАЦИИ:  недостатки не выявлены.</w:t>
      </w:r>
    </w:p>
    <w:p w:rsidR="0026438E" w:rsidRPr="00522355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8E" w:rsidRPr="00522355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sz w:val="24"/>
          <w:szCs w:val="24"/>
        </w:rPr>
        <w:t xml:space="preserve">АНАЛИЗ РАЗМЕЩЕННОЙ НА СТЕНДЕ ИНФОРМАЦИИ: недостатки не выявлены. </w:t>
      </w:r>
    </w:p>
    <w:p w:rsidR="0026438E" w:rsidRPr="00522355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740"/>
      </w:tblGrid>
      <w:tr w:rsidR="0026438E" w:rsidRPr="00522355" w:rsidTr="00E067F7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Pr="00522355" w:rsidRDefault="0026438E" w:rsidP="00E067F7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РЕКОМЕНДУЕТСЯ ОБЕСПЕЧИТЬ СЛЕДУЮЩИЕ УСЛОВИЯ ОКАЗАНИЯ УСЛУГ.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</w:t>
            </w:r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  <w:proofErr w:type="gram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22355">
              <w:rPr>
                <w:rFonts w:ascii="Times New Roman" w:eastAsia="Times New Roman" w:hAnsi="Times New Roman" w:cs="Times New Roman"/>
                <w:sz w:val="24"/>
                <w:szCs w:val="24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26438E" w:rsidSect="00551411">
      <w:headerReference w:type="default" r:id="rId8"/>
      <w:footerReference w:type="default" r:id="rId9"/>
      <w:pgSz w:w="11906" w:h="16838"/>
      <w:pgMar w:top="426" w:right="851" w:bottom="566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E6" w:rsidRDefault="00211DE6" w:rsidP="008B71B2">
      <w:pPr>
        <w:spacing w:line="240" w:lineRule="auto"/>
      </w:pPr>
      <w:r>
        <w:separator/>
      </w:r>
    </w:p>
  </w:endnote>
  <w:endnote w:type="continuationSeparator" w:id="0">
    <w:p w:rsidR="00211DE6" w:rsidRDefault="00211DE6" w:rsidP="008B7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71" w:rsidRDefault="00D34671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34671" w:rsidRDefault="00D34671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D34671" w:rsidRDefault="00D34671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E6" w:rsidRDefault="00211DE6" w:rsidP="008B71B2">
      <w:pPr>
        <w:spacing w:line="240" w:lineRule="auto"/>
      </w:pPr>
      <w:r>
        <w:separator/>
      </w:r>
    </w:p>
  </w:footnote>
  <w:footnote w:type="continuationSeparator" w:id="0">
    <w:p w:rsidR="00211DE6" w:rsidRDefault="00211DE6" w:rsidP="008B71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71" w:rsidRDefault="00D34671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23B"/>
    <w:multiLevelType w:val="multilevel"/>
    <w:tmpl w:val="B6623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975379"/>
    <w:multiLevelType w:val="multilevel"/>
    <w:tmpl w:val="201E9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51101B4"/>
    <w:multiLevelType w:val="multilevel"/>
    <w:tmpl w:val="BE323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F2E2390"/>
    <w:multiLevelType w:val="hybridMultilevel"/>
    <w:tmpl w:val="F18E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1B2"/>
    <w:rsid w:val="0004211E"/>
    <w:rsid w:val="00160F62"/>
    <w:rsid w:val="001C2BA0"/>
    <w:rsid w:val="001C7B21"/>
    <w:rsid w:val="001D1821"/>
    <w:rsid w:val="00211DE6"/>
    <w:rsid w:val="0026438E"/>
    <w:rsid w:val="002B6459"/>
    <w:rsid w:val="00340944"/>
    <w:rsid w:val="004366C7"/>
    <w:rsid w:val="004C2AB2"/>
    <w:rsid w:val="00522355"/>
    <w:rsid w:val="00551411"/>
    <w:rsid w:val="005F3ACD"/>
    <w:rsid w:val="006C04CC"/>
    <w:rsid w:val="006D7686"/>
    <w:rsid w:val="00727C22"/>
    <w:rsid w:val="008B71B2"/>
    <w:rsid w:val="00985BBD"/>
    <w:rsid w:val="00A20854"/>
    <w:rsid w:val="00CB3C5D"/>
    <w:rsid w:val="00D34671"/>
    <w:rsid w:val="00E0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4"/>
  </w:style>
  <w:style w:type="paragraph" w:styleId="1">
    <w:name w:val="heading 1"/>
    <w:basedOn w:val="10"/>
    <w:next w:val="10"/>
    <w:link w:val="11"/>
    <w:rsid w:val="008B71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rsid w:val="008B71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8B71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rsid w:val="008B71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rsid w:val="008B71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rsid w:val="008B71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71B2"/>
  </w:style>
  <w:style w:type="table" w:customStyle="1" w:styleId="TableNormal">
    <w:name w:val="Table Normal"/>
    <w:rsid w:val="008B71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8B71B2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link w:val="a6"/>
    <w:rsid w:val="008B71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ffffffffffffffffffffffffff8">
    <w:name w:val="Balloon Text"/>
    <w:basedOn w:val="a"/>
    <w:link w:val="afffffffffffffffffffffffffffffffffffffffffffffffffffffffffff9"/>
    <w:uiPriority w:val="99"/>
    <w:semiHidden/>
    <w:unhideWhenUsed/>
    <w:rsid w:val="0016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ffffffffffffffffffffffffff9">
    <w:name w:val="Текст выноски Знак"/>
    <w:basedOn w:val="a0"/>
    <w:link w:val="afffffffffffffffffffffffffffffffffffffffffffffffffffffffffff8"/>
    <w:uiPriority w:val="99"/>
    <w:semiHidden/>
    <w:rsid w:val="00160F6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26438E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26438E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26438E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26438E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26438E"/>
    <w:rPr>
      <w:color w:val="666666"/>
    </w:rPr>
  </w:style>
  <w:style w:type="character" w:customStyle="1" w:styleId="60">
    <w:name w:val="Заголовок 6 Знак"/>
    <w:basedOn w:val="a0"/>
    <w:link w:val="6"/>
    <w:rsid w:val="0026438E"/>
    <w:rPr>
      <w:i/>
      <w:color w:val="666666"/>
    </w:rPr>
  </w:style>
  <w:style w:type="character" w:customStyle="1" w:styleId="a4">
    <w:name w:val="Название Знак"/>
    <w:basedOn w:val="a0"/>
    <w:link w:val="a3"/>
    <w:rsid w:val="0026438E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26438E"/>
    <w:rPr>
      <w:color w:val="666666"/>
      <w:sz w:val="30"/>
      <w:szCs w:val="30"/>
    </w:rPr>
  </w:style>
  <w:style w:type="paragraph" w:styleId="afffffffffffffffffffffffffffffffffffffffffffffffffffffffffffa">
    <w:name w:val="header"/>
    <w:basedOn w:val="a"/>
    <w:link w:val="afffffffffffffffffffffffffffffffffffffffffffffffffffffffffffb"/>
    <w:uiPriority w:val="99"/>
    <w:semiHidden/>
    <w:unhideWhenUsed/>
    <w:rsid w:val="00551411"/>
    <w:pPr>
      <w:tabs>
        <w:tab w:val="center" w:pos="4677"/>
        <w:tab w:val="right" w:pos="9355"/>
      </w:tabs>
      <w:spacing w:line="240" w:lineRule="auto"/>
    </w:pPr>
  </w:style>
  <w:style w:type="character" w:customStyle="1" w:styleId="afffffffffffffffffffffffffffffffffffffffffffffffffffffffffffb">
    <w:name w:val="Верхний колонтитул Знак"/>
    <w:basedOn w:val="a0"/>
    <w:link w:val="afffffffffffffffffffffffffffffffffffffffffffffffffffffffffffa"/>
    <w:uiPriority w:val="99"/>
    <w:semiHidden/>
    <w:rsid w:val="00551411"/>
  </w:style>
  <w:style w:type="paragraph" w:styleId="afffffffffffffffffffffffffffffffffffffffffffffffffffffffffffc">
    <w:name w:val="footer"/>
    <w:basedOn w:val="a"/>
    <w:link w:val="afffffffffffffffffffffffffffffffffffffffffffffffffffffffffffd"/>
    <w:uiPriority w:val="99"/>
    <w:semiHidden/>
    <w:unhideWhenUsed/>
    <w:rsid w:val="00551411"/>
    <w:pPr>
      <w:tabs>
        <w:tab w:val="center" w:pos="4677"/>
        <w:tab w:val="right" w:pos="9355"/>
      </w:tabs>
      <w:spacing w:line="240" w:lineRule="auto"/>
    </w:pPr>
  </w:style>
  <w:style w:type="character" w:customStyle="1" w:styleId="afffffffffffffffffffffffffffffffffffffffffffffffffffffffffffd">
    <w:name w:val="Нижний колонтитул Знак"/>
    <w:basedOn w:val="a0"/>
    <w:link w:val="afffffffffffffffffffffffffffffffffffffffffffffffffffffffffffc"/>
    <w:uiPriority w:val="99"/>
    <w:semiHidden/>
    <w:rsid w:val="005514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Пользователь</cp:lastModifiedBy>
  <cp:revision>12</cp:revision>
  <dcterms:created xsi:type="dcterms:W3CDTF">2024-01-29T13:28:00Z</dcterms:created>
  <dcterms:modified xsi:type="dcterms:W3CDTF">2024-02-02T08:10:00Z</dcterms:modified>
</cp:coreProperties>
</file>