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both"/>
        <w:rPr>
          <w:b/>
        </w:rPr>
      </w:pPr>
      <w:r>
        <w:rPr>
          <w:b/>
        </w:rPr>
        <w:t>Открытые окна - угроза выпадения детей из окон</w:t>
      </w:r>
    </w:p>
    <w:p>
      <w:pPr>
        <w:pStyle w:val="Normal"/>
        <w:spacing w:before="0" w:after="0"/>
        <w:ind w:firstLine="709"/>
        <w:jc w:val="both"/>
        <w:rPr>
          <w:b/>
        </w:rPr>
      </w:pPr>
      <w:r>
        <w:rPr>
          <w:b/>
        </w:rPr>
        <w:t xml:space="preserve"> </w:t>
      </w:r>
    </w:p>
    <w:p>
      <w:pPr>
        <w:pStyle w:val="Normal"/>
        <w:spacing w:before="0" w:after="0"/>
        <w:ind w:firstLine="709"/>
        <w:jc w:val="both"/>
        <w:rPr/>
      </w:pPr>
      <w:r>
        <w:rPr/>
        <w:t>Начался теплый период времени, когда мы, чтобы освежить воздух в комнате, начнем открывать окна.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Главное в этот момент - четко осознавать опасность открытых окон для маленьких детей, если они есть в доме.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Ежегодно малыши, оставленные в комнате без присмотра, выпадают из окон, получая травмы различной степени тяжести или гибнут.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bookmarkStart w:id="0" w:name="_GoBack"/>
      <w:bookmarkEnd w:id="0"/>
      <w:r>
        <w:rPr/>
        <w:t>Причинами случившегося являются: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- временная утрата контроля взрослых за поведением детей;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- невнимательность взрослых, забывших закрыть окна на период отсутствия в комнате, где находятся дети;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- неправильная расстановка мебели, позволяющая детям самостоятельно забираться на подоконник;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- наличие на окнах противомоскитных сеток, создающих мнимую иллюзию закрытого окна;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- отсутствие запорных устройств на окнах.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За оставление детей в опасности, в случаях, когда виновный имел возможность оказать помощь ребенку и был обязан иметь о нем заботу либо сам поставил его в опасное для жизни или здоровья состояние предусмотрена уголовная ответственность.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Берегите детей!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146</Words>
  <Characters>898</Characters>
  <CharactersWithSpaces>1033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2024-07-02T11:21:00Z</dcterms:created>
  <dc:creator>Долинина Анна Александровна</dc:creator>
  <dc:description/>
  <dc:language>ru-RU</dc:language>
  <cp:lastModifiedBy>Агашин Игорь Сергеевич</cp:lastModifiedBy>
  <dcterms:modified xsi:type="dcterms:W3CDTF">2024-07-02T11:32:00Z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