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0" w:left="0" w:right="0"/>
        <w:jc w:val="center"/>
        <w:rPr>
          <w:b w:val="0"/>
        </w:rPr>
      </w:pPr>
      <w:r>
        <w:rPr>
          <w:rFonts w:ascii="Times New Roman" w:hAnsi="Times New Roman"/>
          <w:b w:val="0"/>
        </w:rPr>
        <w:t>Предельная продолжительность сверхурочной работы увеличивается до</w:t>
      </w:r>
      <w:r>
        <w:rPr>
          <w:rFonts w:ascii="Times New Roman" w:hAnsi="Times New Roman"/>
          <w:b w:val="0"/>
        </w:rPr>
        <w:t xml:space="preserve"> 240</w:t>
      </w:r>
      <w:r>
        <w:rPr>
          <w:b w:val="1"/>
        </w:rPr>
        <w:t xml:space="preserve"> </w:t>
      </w:r>
      <w:r>
        <w:rPr>
          <w:rFonts w:ascii="Times New Roman" w:hAnsi="Times New Roman"/>
          <w:b w:val="0"/>
        </w:rPr>
        <w:t>часов в год</w:t>
      </w:r>
    </w:p>
    <w:p w14:paraId="02000000">
      <w:pPr>
        <w:pStyle w:val="Style_1"/>
      </w:pPr>
    </w:p>
    <w:p w14:paraId="03000000">
      <w:pPr>
        <w:widowControl w:val="1"/>
        <w:spacing w:after="0" w:before="0" w:line="240" w:lineRule="auto"/>
        <w:ind w:firstLine="850" w:left="0" w:right="0"/>
        <w:rPr>
          <w:rFonts w:ascii="Times New Roman" w:hAnsi="Times New Roman"/>
        </w:rPr>
      </w:pPr>
    </w:p>
    <w:p w14:paraId="04000000">
      <w:pPr>
        <w:widowControl w:val="1"/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Федеральным законом от 25.05.2026 № 144-ФЗ «</w:t>
      </w:r>
      <w:r>
        <w:rPr>
          <w:rFonts w:ascii="Times New Roman" w:hAnsi="Times New Roman"/>
          <w:b w:val="0"/>
        </w:rPr>
        <w:t xml:space="preserve">О внесении изменений в Трудовой кодекс Российской Федерации» </w:t>
      </w:r>
      <w:r>
        <w:rPr>
          <w:rFonts w:ascii="Times New Roman" w:hAnsi="Times New Roman"/>
          <w:b w:val="0"/>
        </w:rPr>
        <w:t>устанавливается, что продолжительность сверхурочной работы для каждого работника может быть увеличена до 240 часов в год, если это предусмотрено коллективным договором и (или) отраслевым (межотраслевым) соглашением, распространяющимся на данного работодателя.</w:t>
      </w:r>
    </w:p>
    <w:p w14:paraId="05000000">
      <w:pPr>
        <w:widowControl w:val="1"/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Закрепляются дополнительные гарантии для работников, привлекаемых к сверхурочной работе, и устанавливается единый порядок оплаты сверхурочной работы. Так, привлечение работника к сверхурочной работе сверх 120 часов в год допускается с его письменного согласия. Сверхурочная работа оплачивается исходя из размера заработной платы, установленного в соответствии с действующими у работодателя системами оплаты труда в период выполнения сверхурочной работы, включая компенсационные и стимулирующие выплаты, в пределах 120 часов в год за первые два часа работы не менее чем в полуторном размере, за последующие часы - не менее чем в двойном размере, начиная со 121-го часа - не менее чем в двойном размере за каждый час.</w:t>
      </w:r>
    </w:p>
    <w:p w14:paraId="06000000">
      <w:pPr>
        <w:widowControl w:val="1"/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Предусмотрено, что работник по своему желанию может выбрать дополнительные дни отдыха вместо повышенной оплаты сверхурочной работы.</w:t>
      </w:r>
    </w:p>
    <w:p w14:paraId="07000000">
      <w:pPr>
        <w:widowControl w:val="1"/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 прохождении диспансеризации работники, привлекаемые к сверхурочной работе сверх 120 часов в год, освобождаются от работы на один рабочий день в год с сохранением за ними места работы (должности) и среднего заработка.</w:t>
      </w:r>
    </w:p>
    <w:p w14:paraId="08000000">
      <w:pPr>
        <w:widowControl w:val="1"/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Кроме того, определены категории работников, продолжительность сверхурочной работы которых не должна превышать 120 часов в год, а также категории работников, привлечение которых к сверхурочной работе, продолжительность которой превышает 120 часов в год, допускается только с их письменного согласия и при условии, что это не запрещено им по состоянию здоровья в соответствии с медицинским заключением.</w:t>
      </w:r>
    </w:p>
    <w:p w14:paraId="09000000">
      <w:pPr>
        <w:widowControl w:val="1"/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Помимо прочего, ТК РФ дополняется новой статьей, определяющей особенности оплаты сверхурочной работы работников железнодорожного транспорта.</w:t>
      </w:r>
    </w:p>
    <w:p w14:paraId="0A000000">
      <w:pPr>
        <w:widowControl w:val="1"/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Законом в ТК РФ внесены и иные комплексные изменения. Так, в частности, с 35 до 70 человек увеличивается порог по численности работников для субъектов малого бизнеса, при котором допускается заключение срочного трудового договора по соглашению сторон.</w:t>
      </w:r>
    </w:p>
    <w:p w14:paraId="0B000000">
      <w:pPr>
        <w:widowControl w:val="1"/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Федеральный закон вступает в силу с 1 сентября 2026 года. </w:t>
      </w:r>
    </w:p>
    <w:p w14:paraId="0C000000">
      <w:pPr>
        <w:pStyle w:val="Style_1"/>
        <w:widowControl w:val="1"/>
        <w:spacing w:before="0" w:line="240" w:lineRule="auto"/>
        <w:ind w:firstLine="850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2026-06-22T13:28:22Z</dcterms:created>
  <dcterms:modified xsi:type="dcterms:W3CDTF">2026-06-22T13:54:10Z</dcterms:modified>
</cp:coreProperties>
</file>