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tabs>
          <w:tab w:val="left" w:pos="0" w:leader="none"/>
          <w:tab w:val="left" w:pos="708" w:leader="none"/>
          <w:tab w:val="right" w:pos="9639" w:leader="dot"/>
        </w:tabs>
        <w:spacing w:after="0" w:line="240" w:lineRule="auto"/>
        <w:rPr>
          <w:highlight w:val="none"/>
        </w:rPr>
      </w:pP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8164884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25067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39789" cy="8164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pt;height:642.9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</w:p>
    <w:p>
      <w:pPr>
        <w:tabs>
          <w:tab w:val="left" w:pos="0" w:leader="none"/>
          <w:tab w:val="left" w:pos="708" w:leader="none"/>
          <w:tab w:val="right" w:pos="9639" w:leader="dot"/>
        </w:tabs>
        <w:spacing w:after="0" w:line="240" w:lineRule="auto"/>
        <w:rPr>
          <w:rFonts w:ascii="Times New Roman" w:hAnsi="Times New Roman" w:eastAsia="Times New Roman" w:cs="Tahoma"/>
          <w:sz w:val="24"/>
          <w:szCs w:val="24"/>
          <w:lang w:eastAsia="ru-RU"/>
        </w:rPr>
      </w:pP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</w:p>
    <w:p>
      <w:pPr>
        <w:tabs>
          <w:tab w:val="left" w:pos="0" w:leader="none"/>
          <w:tab w:val="left" w:pos="708" w:leader="none"/>
          <w:tab w:val="right" w:pos="9639" w:leader="dot"/>
        </w:tabs>
        <w:spacing w:after="0" w:line="240" w:lineRule="auto"/>
        <w:rPr>
          <w:rFonts w:ascii="Times New Roman" w:hAnsi="Times New Roman" w:eastAsia="Times New Roman" w:cs="Tahoma"/>
          <w:sz w:val="24"/>
          <w:szCs w:val="24"/>
          <w:lang w:eastAsia="ru-RU"/>
        </w:rPr>
      </w:pPr>
      <w:r>
        <w:rPr>
          <w:highlight w:val="none"/>
        </w:rPr>
      </w:r>
      <w:r>
        <w:rPr>
          <w:highlight w:val="none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r>
    </w:p>
    <w:p>
      <w:pPr>
        <w:keepNext/>
        <w:tabs>
          <w:tab w:val="left" w:pos="0" w:leader="none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25" cy="590550"/>
                <wp:effectExtent l="0" t="0" r="9525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66725" cy="5905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6.8pt;height:46.5pt;mso-wrap-distance-left:0.0pt;mso-wrap-distance-top:0.0pt;mso-wrap-distance-right:0.0pt;mso-wrap-distance-bottom:0.0pt;" stroked="f">
                <v:path textboxrect="0,0,0,0"/>
                <v:imagedata r:id="rId13" o:title=""/>
              </v:shape>
            </w:pict>
          </mc:Fallback>
        </mc:AlternateContent>
      </w:r>
    </w:p>
    <w:p>
      <w:pPr>
        <w:tabs>
          <w:tab w:val="left" w:pos="0" w:leader="none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r>
    </w:p>
    <w:p>
      <w:pPr>
        <w:keepNext/>
        <w:tabs>
          <w:tab w:val="left" w:pos="0" w:leader="none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  <w:t xml:space="preserve">ДЕПАРТАМЕНТ ОБРАЗОВАНИЯ</w:t>
      </w:r>
    </w:p>
    <w:p>
      <w:pPr>
        <w:keepNext/>
        <w:tabs>
          <w:tab w:val="left" w:pos="0" w:leader="none"/>
        </w:tabs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  <w:t xml:space="preserve">АДМИНИСТРАЦИЯ  ГОРОДА  НИЖНЕГО  НОВГОРОДА</w:t>
      </w:r>
    </w:p>
    <w:p>
      <w:pPr>
        <w:tabs>
          <w:tab w:val="left" w:pos="0" w:leader="none"/>
        </w:tabs>
        <w:spacing w:after="12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  <w:t xml:space="preserve">МУНИЦИПАЛЬНОЕ  БЮДЖЕТНОЕ  ДОШКОЛЬНОЕ ОБРАЗОВАТЕЛЬНОЕ УЧРЕЖДЕНИЕ</w:t>
      </w:r>
    </w:p>
    <w:p>
      <w:pPr>
        <w:spacing w:after="12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  <w:t xml:space="preserve">"ДЕТСКИЙ САД    № 143"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  <w:t xml:space="preserve">603009, г</w:t>
      </w: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  <w:t xml:space="preserve">. Нижний Новгород, улица Батумская, дом 9 В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  <w:t xml:space="preserve">тел. (831) 65-41-21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hyperlink r:id="rId14" w:tooltip="mailto:ds143_nn@mail.52gov.ru" w:history="1"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val="en-US" w:eastAsia="ru-RU"/>
          </w:rPr>
          <w:t xml:space="preserve">ds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eastAsia="ru-RU"/>
          </w:rPr>
          <w:t xml:space="preserve">143_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val="en-US" w:eastAsia="ru-RU"/>
          </w:rPr>
          <w:t xml:space="preserve">nn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eastAsia="ru-RU"/>
          </w:rPr>
          <w:t xml:space="preserve">@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val="en-US" w:eastAsia="ru-RU"/>
          </w:rPr>
          <w:t xml:space="preserve">mail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eastAsia="ru-RU"/>
          </w:rPr>
          <w:t xml:space="preserve">.52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val="en-US" w:eastAsia="ru-RU"/>
          </w:rPr>
          <w:t xml:space="preserve">gov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eastAsia="ru-RU"/>
          </w:rPr>
          <w:t xml:space="preserve">.</w:t>
        </w:r>
        <w:r>
          <w:rPr>
            <w:rFonts w:ascii="Times New Roman" w:hAnsi="Times New Roman" w:eastAsia="Times New Roman" w:cs="Times New Roman"/>
            <w:b/>
            <w:bCs/>
            <w:color w:val="0563c1" w:themeColor="hyperlink"/>
            <w:sz w:val="16"/>
            <w:szCs w:val="16"/>
            <w:u w:val="single"/>
            <w:lang w:val="en-US" w:eastAsia="ru-RU"/>
          </w:rPr>
          <w:t xml:space="preserve">ru</w:t>
        </w:r>
      </w:hyperlink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r>
    </w:p>
    <w:p>
      <w:pPr>
        <w:tabs>
          <w:tab w:val="left" w:pos="708" w:leader="none"/>
          <w:tab w:val="right" w:pos="9639" w:leader="dot"/>
        </w:tabs>
        <w:spacing w:after="0" w:line="240" w:lineRule="auto"/>
        <w:rPr>
          <w:rFonts w:ascii="Times New Roman" w:hAnsi="Times New Roman" w:eastAsia="Times New Roman" w:cs="Tahoma"/>
          <w:sz w:val="24"/>
          <w:szCs w:val="24"/>
          <w:lang w:eastAsia="ru-RU"/>
        </w:rPr>
      </w:pP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</w:p>
    <w:p>
      <w:pPr>
        <w:tabs>
          <w:tab w:val="right" w:pos="9639" w:leader="dot"/>
        </w:tabs>
        <w:spacing w:after="0" w:line="240" w:lineRule="auto"/>
        <w:rPr>
          <w:rFonts w:ascii="Times New Roman" w:hAnsi="Times New Roman" w:eastAsia="Times New Roman" w:cs="Tahoma"/>
          <w:sz w:val="24"/>
          <w:szCs w:val="24"/>
          <w:lang w:eastAsia="ru-RU"/>
        </w:rPr>
      </w:pP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</w:p>
    <w:tbl>
      <w:tblPr>
        <w:tblStyle w:val="874"/>
        <w:tblW w:w="95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rPr/>
        <w:tc>
          <w:tcPr>
            <w:tcW w:w="4785" w:type="dxa"/>
            <w:noWrap w:val="false"/>
            <w:textDirection w:val="lrTb"/>
          </w:tcPr>
          <w:p>
            <w:pPr>
              <w:tabs>
                <w:tab w:val="left" w:pos="0" w:leader="none"/>
                <w:tab w:val="left" w:pos="708" w:leader="none"/>
                <w:tab w:val="right" w:pos="9639" w:leader="dot"/>
              </w:tabs>
              <w:spacing w:line="240" w:lineRule="auto"/>
            </w:pPr>
            <w:r>
              <w:rPr>
                <w:rFonts w:ascii="Times New Roman" w:hAnsi="Times New Roman" w:eastAsia="Times New Roman" w:cs="Tahoma"/>
                <w:sz w:val="24"/>
                <w:szCs w:val="24"/>
                <w:lang w:eastAsia="ru-RU"/>
              </w:rPr>
              <w:t xml:space="preserve">ПРИНЯТО:</w:t>
            </w:r>
          </w:p>
          <w:p>
            <w:pPr>
              <w:tabs>
                <w:tab w:val="left" w:pos="0" w:leader="none"/>
                <w:tab w:val="left" w:pos="708" w:leader="none"/>
                <w:tab w:val="right" w:pos="9639" w:leader="dot"/>
              </w:tabs>
              <w:spacing w:line="240" w:lineRule="auto"/>
            </w:pPr>
            <w:r>
              <w:rPr>
                <w:rFonts w:ascii="Times New Roman" w:hAnsi="Times New Roman" w:eastAsia="Times New Roman" w:cs="Tahoma"/>
                <w:sz w:val="24"/>
                <w:szCs w:val="24"/>
                <w:lang w:eastAsia="ru-RU"/>
              </w:rPr>
              <w:t xml:space="preserve">общим собранием работников</w:t>
            </w:r>
          </w:p>
          <w:p>
            <w:pPr>
              <w:tabs>
                <w:tab w:val="left" w:pos="0" w:leader="none"/>
                <w:tab w:val="left" w:pos="708" w:leader="none"/>
                <w:tab w:val="right" w:pos="9639" w:leader="dot"/>
              </w:tabs>
              <w:spacing w:line="240" w:lineRule="auto"/>
              <w:rPr>
                <w:rFonts w:ascii="Times New Roman" w:hAnsi="Times New Roman" w:eastAsia="Times New Roman" w:cs="Tahoma"/>
              </w:rPr>
            </w:pPr>
            <w:r>
              <w:rPr>
                <w:rFonts w:ascii="Times New Roman" w:hAnsi="Times New Roman" w:eastAsia="Times New Roman" w:cs="Tahoma"/>
                <w:sz w:val="24"/>
                <w:szCs w:val="24"/>
                <w:lang w:eastAsia="ru-RU"/>
              </w:rPr>
              <w:t xml:space="preserve">Протокол № 2 от 18.06.2026 г.</w:t>
            </w:r>
            <w:r>
              <w:rPr>
                <w:rFonts w:ascii="Times New Roman" w:hAnsi="Times New Roman" w:eastAsia="Times New Roman" w:cs="Tahoma"/>
                <w:lang w:eastAsia="ru-RU"/>
              </w:rPr>
            </w:r>
          </w:p>
        </w:tc>
        <w:tc>
          <w:tcPr>
            <w:tcW w:w="4786" w:type="dxa"/>
            <w:noWrap w:val="false"/>
            <w:textDirection w:val="lrTb"/>
          </w:tcPr>
          <w:p>
            <w:pPr>
              <w:spacing w:line="240" w:lineRule="auto"/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УТВЕРЖДАЮ:</w:t>
            </w:r>
          </w:p>
          <w:p>
            <w:pPr>
              <w:spacing w:line="240" w:lineRule="auto"/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заведующий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spacing w:line="240" w:lineRule="auto"/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МБДОУ «Детский сад 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</w:p>
          <w:p>
            <w:pPr>
              <w:spacing w:line="240" w:lineRule="auto"/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Т.И. Демченко</w:t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Приказ 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176-О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18.06.2026г.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tabs>
          <w:tab w:val="left" w:pos="0" w:leader="none"/>
          <w:tab w:val="left" w:pos="708" w:leader="none"/>
          <w:tab w:val="right" w:pos="9639" w:leader="dot"/>
        </w:tabs>
        <w:spacing w:after="0" w:line="240" w:lineRule="auto"/>
        <w:rPr>
          <w:rFonts w:ascii="Times New Roman" w:hAnsi="Times New Roman" w:eastAsia="Times New Roman" w:cs="Tahoma"/>
          <w:sz w:val="24"/>
          <w:szCs w:val="24"/>
          <w:lang w:eastAsia="ru-RU"/>
        </w:rPr>
      </w:pPr>
      <w:r>
        <w:rPr>
          <w:rFonts w:ascii="Times New Roman" w:hAnsi="Times New Roman" w:eastAsia="Times New Roman" w:cs="Tahoma"/>
          <w:sz w:val="24"/>
          <w:szCs w:val="24"/>
          <w:lang w:eastAsia="ru-RU"/>
        </w:rPr>
      </w:r>
    </w:p>
    <w:tbl>
      <w:tblPr>
        <w:tblW w:w="5104" w:type="dxa"/>
        <w:tblInd w:w="-34" w:type="dxa"/>
        <w:tblLook w:val="01E0" w:firstRow="1" w:lastRow="1" w:firstColumn="1" w:lastColumn="1" w:noHBand="0" w:noVBand="0"/>
      </w:tblPr>
      <w:tblGrid>
        <w:gridCol w:w="4537"/>
        <w:gridCol w:w="567"/>
      </w:tblGrid>
      <w:tr>
        <w:trPr>
          <w:trHeight w:val="1635"/>
        </w:trPr>
        <w:tc>
          <w:tcPr>
            <w:tcW w:w="4537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567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ПРАВИЛА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обмена деловыми подарками и знаками делового гостеприимства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для </w:t>
      </w:r>
      <w:r>
        <w:rPr>
          <w:rFonts w:ascii="Times New Roman" w:hAnsi="Times New Roman" w:cs="Times New Roman"/>
          <w:b/>
          <w:sz w:val="36"/>
          <w:szCs w:val="36"/>
        </w:rPr>
        <w:t xml:space="preserve">работников</w:t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36"/>
          <w:szCs w:val="36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36"/>
          <w:szCs w:val="36"/>
          <w:lang w:eastAsia="ru-RU"/>
        </w:rPr>
        <w:t xml:space="preserve">МБДОУ «Детский сад № </w:t>
      </w:r>
      <w:r>
        <w:rPr>
          <w:rFonts w:ascii="Times New Roman" w:hAnsi="Times New Roman" w:eastAsia="Calibri" w:cs="Times New Roman"/>
          <w:b/>
          <w:bCs/>
          <w:sz w:val="36"/>
          <w:szCs w:val="36"/>
          <w:lang w:eastAsia="ru-RU"/>
        </w:rPr>
        <w:t xml:space="preserve">143</w:t>
      </w:r>
      <w:r>
        <w:rPr>
          <w:rFonts w:ascii="Times New Roman" w:hAnsi="Times New Roman" w:eastAsia="Calibri" w:cs="Times New Roman"/>
          <w:b/>
          <w:bCs/>
          <w:sz w:val="36"/>
          <w:szCs w:val="36"/>
          <w:lang w:eastAsia="ru-RU"/>
        </w:rPr>
        <w:t xml:space="preserve">»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i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(Приложение к Антикоррупционной политике</w:t>
      </w:r>
      <w:r>
        <w:rPr>
          <w:rFonts w:ascii="Times New Roman" w:hAnsi="Times New Roman"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 № </w:t>
      </w:r>
      <w:r>
        <w:rPr>
          <w:rFonts w:ascii="Times New Roman" w:hAnsi="Times New Roman"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bCs/>
          <w:i/>
          <w:color w:val="222222"/>
          <w:sz w:val="24"/>
          <w:szCs w:val="24"/>
          <w:lang w:eastAsia="ru-RU"/>
        </w:rPr>
        <w:t xml:space="preserve">)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г. Нижний Новгород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  <w:t xml:space="preserve">6 г.</w:t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1. Общие положения</w:t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b/>
          <w:sz w:val="24"/>
          <w:szCs w:val="24"/>
          <w:highlight w:val="none"/>
        </w:rPr>
      </w:r>
    </w:p>
    <w:p>
      <w:pPr>
        <w:tabs>
          <w:tab w:val="left" w:pos="0" w:leader="none"/>
        </w:tabs>
        <w:spacing w:after="0" w:line="240" w:lineRule="auto"/>
        <w:ind w:right="-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1.1. Настоящи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Правила обмена деловыми подарками и знаками делового гостеприимства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для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работн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иков МБДОУ «Детский сад №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143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(далее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Правила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разработан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соответствии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 25 декабря 2008 г. № 273-ФЗ «О противодействии коррупции»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«Гражданским кодексом Российской Федерации» от 26 января 1996 г. № 14-ФЗ,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Уставом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Антикоррупционной политикой МБДОУ «Детский сад №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143» (далее - ДОО)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 учётом Методических рекомендаций по разработке и принятию организациями мер по предупреждению и противодействию коррупции (утвержденные Министерством труда и социальной защиты РФ 8 ноября 2013 г.)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1.2.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Правила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явля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ю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тся приложением к Антикоррупционной политике ДОО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1.3.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Правила определяют общие требования к дарению и принятию деловых подарков, а также к обмену знаками делового гостеприимства для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работников ДОО</w:t>
      </w:r>
      <w:r>
        <w:rPr>
          <w:rFonts w:ascii="Times New Roman" w:hAnsi="Times New Roman" w:eastAsia="Calibri" w:cs="Times New Roman"/>
          <w:sz w:val="24"/>
          <w:szCs w:val="24"/>
        </w:rPr>
        <w:t xml:space="preserve">.</w:t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1.4.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Действие Правил распространяется на работников вне зависимости от занимаемой должности.</w:t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1.5.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 терминами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«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деловой подарок</w:t>
      </w:r>
      <w:r>
        <w:rPr>
          <w:rFonts w:ascii="Times New Roman" w:hAnsi="Times New Roman" w:eastAsia="Calibri" w:cs="Times New Roman"/>
          <w:sz w:val="24"/>
          <w:szCs w:val="24"/>
        </w:rPr>
        <w:t xml:space="preserve">»</w:t>
      </w:r>
      <w:r>
        <w:rPr>
          <w:rFonts w:ascii="Times New Roman" w:hAnsi="Times New Roman" w:eastAsia="Calibri" w:cs="Times New Roman"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</w:rPr>
        <w:t xml:space="preserve">«</w:t>
      </w:r>
      <w:r>
        <w:rPr>
          <w:rFonts w:ascii="Times New Roman" w:hAnsi="Times New Roman" w:eastAsia="Calibri" w:cs="Times New Roman"/>
          <w:sz w:val="24"/>
          <w:szCs w:val="24"/>
        </w:rPr>
        <w:t xml:space="preserve">знак делового гостеприимства</w:t>
      </w:r>
      <w:r>
        <w:rPr>
          <w:rFonts w:ascii="Times New Roman" w:hAnsi="Times New Roman" w:eastAsia="Calibri" w:cs="Times New Roman"/>
          <w:sz w:val="24"/>
          <w:szCs w:val="24"/>
        </w:rPr>
        <w:t xml:space="preserve">»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понимаются подарки, полученные в связи:</w:t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а)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 должностным положением или в связи с исполнением служебных (должностных) обязанностей;</w:t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б)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 протокольными мероприятиями, служебными командировками и другими официальными мероприятиями.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Исключение составляют канцелярские принадлежности, которые в рамках протокольных меро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цветы и ценные подарки, которые вручены в качестве поощрения (награды).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Целями настоящих Правил являются: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обеспечение единообразного понимания роли и места деловых подарков, делового гостеприимства, представительских мероприятий;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 xml:space="preserve">определение единых для работников </w:t>
      </w:r>
      <w:r>
        <w:rPr>
          <w:rFonts w:ascii="Times New Roman" w:hAnsi="Times New Roman" w:cs="Times New Roman"/>
          <w:sz w:val="24"/>
          <w:szCs w:val="24"/>
        </w:rPr>
        <w:t xml:space="preserve">ДОО</w:t>
      </w:r>
      <w:r>
        <w:rPr>
          <w:rFonts w:ascii="Times New Roman" w:hAnsi="Times New Roman" w:cs="Times New Roman"/>
          <w:sz w:val="24"/>
          <w:szCs w:val="24"/>
        </w:rPr>
        <w:t xml:space="preserve"> требований к дарению и принятию деловых подарков, к организации и участию в представительских мероприятиях;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 xml:space="preserve">минимизирование рисков, связанных с возможным злоупотреблением в области дарения подарков и оказания знаков делового гостеприимства, представительских мероприятий;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 xml:space="preserve">под</w:t>
      </w:r>
      <w:r>
        <w:rPr>
          <w:rFonts w:ascii="Times New Roman" w:hAnsi="Times New Roman" w:cs="Times New Roman"/>
          <w:sz w:val="24"/>
          <w:szCs w:val="24"/>
        </w:rPr>
        <w:t xml:space="preserve">держание культуры, в которой деловые подарки, деловое гостеприимство,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ведения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ДОО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Требования к деловым подаркам и знакам делового гостеприимства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Деловые подарки и знаки делового гостеприимства являются общепринятым проявлением вежливости при осуществлении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ДОО.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Деловые подарки, подлежащие дарению, и знаки делового гостеприимства должны быть вручены и оказаны только от имени ДОО.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Деловые подарки, подлежащие дарению, и знаки делового гостеприимства не должны: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быть дорогостоящими (стоимостью более трех тысяч рублей, за исключением дарения в связи с протокольными и иными официальными мероприятиями) или предметами роскоши;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 xml:space="preserve">создавать для получателя подарка обязательства, связанные с его должностным положением или исполнением им должностных обязанностей;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 xml:space="preserve">представлять собой скрытое вознаг</w:t>
      </w:r>
      <w:r>
        <w:rPr>
          <w:rFonts w:ascii="Times New Roman" w:hAnsi="Times New Roman" w:cs="Times New Roman"/>
          <w:sz w:val="24"/>
          <w:szCs w:val="24"/>
        </w:rPr>
        <w:t xml:space="preserve">раждение за услугу, действие или бездействие, попустительство или покровительство, предоставление прав или принятие определенных решений либо попытку оказать влияние на получателя с иной незаконной или неэтичной целью; создавать репутационный риск для ДОО;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 xml:space="preserve">быть в форме наличных, безналичных денежных средств, ценных бумаг, драгоценных металлов.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Деловые подарки, подлежащие дарению, и знаки делового гостеприимства могут быть прямо связаны с установленными целями деятельности ДОО, с памятными датами, юбилеями, общенациональными, профессиональными праздниками.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Обязанности работников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Работники вправе получать деловые подарки, знаки делового гостеприимства только на официальных мероприятиях в соответствии с нормами антикоррупционного законодательства Российской Федерации и настоящих Правил.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Работники обязаны: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>
        <w:rPr>
          <w:rFonts w:ascii="Times New Roman" w:hAnsi="Times New Roman" w:cs="Times New Roman"/>
          <w:sz w:val="24"/>
          <w:szCs w:val="24"/>
        </w:rPr>
        <w:t xml:space="preserve">при получении делового подарка или знаков делового гостеприимства принять меры по недопущению возможности возникновения конфликта интересов;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>
        <w:rPr>
          <w:rFonts w:ascii="Times New Roman" w:hAnsi="Times New Roman" w:cs="Times New Roman"/>
          <w:sz w:val="24"/>
          <w:szCs w:val="24"/>
        </w:rPr>
        <w:t xml:space="preserve">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в установленном порядке уведомить об этом работодателя</w:t>
      </w:r>
      <w:r>
        <w:rPr>
          <w:rFonts w:ascii="Times New Roman" w:hAnsi="Times New Roman" w:cs="Times New Roman"/>
          <w:sz w:val="24"/>
          <w:szCs w:val="24"/>
        </w:rPr>
        <w:t xml:space="preserve"> в лице заведующего ДОО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3.2.3. </w:t>
      </w:r>
      <w:r>
        <w:rPr>
          <w:rFonts w:ascii="Times New Roman" w:hAnsi="Times New Roman" w:cs="Times New Roman"/>
          <w:sz w:val="24"/>
          <w:szCs w:val="24"/>
        </w:rPr>
        <w:t xml:space="preserve">сообщить о получении делового подарка, сдать его в установленном порядке (за исключением </w:t>
      </w:r>
      <w:r>
        <w:rPr>
          <w:rFonts w:ascii="Times New Roman" w:hAnsi="Times New Roman" w:cs="Times New Roman"/>
          <w:sz w:val="24"/>
          <w:szCs w:val="24"/>
        </w:rPr>
        <w:t xml:space="preserve">подарка, </w:t>
      </w:r>
      <w:r>
        <w:rPr>
          <w:rFonts w:ascii="Times New Roman" w:hAnsi="Times New Roman" w:cs="Times New Roman"/>
          <w:sz w:val="24"/>
          <w:szCs w:val="24"/>
        </w:rPr>
        <w:t xml:space="preserve">стоимость которого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 xml:space="preserve">превышает 3 тысячи рублей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канцелярских принадлежностей, которые в рамках протокольных меропр</w:t>
      </w:r>
      <w:r>
        <w:rPr>
          <w:rFonts w:ascii="Times New Roman" w:hAnsi="Times New Roman" w:cs="Times New Roman"/>
          <w:sz w:val="24"/>
          <w:szCs w:val="24"/>
        </w:rPr>
        <w:t xml:space="preserve">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Работникам запрещается: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в ходе проведения деловых переговоров, при заключении догово</w:t>
      </w:r>
      <w:r>
        <w:rPr>
          <w:rFonts w:ascii="Times New Roman" w:hAnsi="Times New Roman" w:cs="Times New Roman"/>
          <w:sz w:val="24"/>
          <w:szCs w:val="24"/>
        </w:rPr>
        <w:t xml:space="preserve">ров, а также в иных случаях, когда подобные действия могут повлиять или создать впечатление об их влиянии на принимаемые решения, принимать предложения от организаций или третьих лиц о вручении деловых подарков и об оказании знаков делового гостеприимства;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 xml:space="preserve">просить, требовать, вынуждать организации или третьих лиц дарить им либо лицам, с которыми они состоят в близком родстве или свойстве, деловые подарки и (или) оказывать в их пользу знаки делового гостеприимства;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 xml:space="preserve">принимать подарки в форме наличных, безналичных </w:t>
      </w:r>
      <w:r>
        <w:rPr>
          <w:rFonts w:ascii="Times New Roman" w:hAnsi="Times New Roman" w:cs="Times New Roman"/>
          <w:sz w:val="24"/>
          <w:szCs w:val="24"/>
        </w:rPr>
        <w:t xml:space="preserve">денежных средств, ценных бумаг, </w:t>
      </w:r>
      <w:r>
        <w:rPr>
          <w:rFonts w:ascii="Times New Roman" w:hAnsi="Times New Roman" w:cs="Times New Roman"/>
          <w:sz w:val="24"/>
          <w:szCs w:val="24"/>
        </w:rPr>
        <w:t xml:space="preserve">драго</w:t>
      </w:r>
      <w:r>
        <w:rPr>
          <w:rFonts w:ascii="Times New Roman" w:hAnsi="Times New Roman" w:cs="Times New Roman"/>
          <w:sz w:val="24"/>
          <w:szCs w:val="24"/>
        </w:rPr>
        <w:t xml:space="preserve">ценных металлов;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принимать п</w:t>
      </w:r>
      <w:r>
        <w:rPr>
          <w:rFonts w:ascii="Times New Roman" w:hAnsi="Times New Roman" w:cs="Times New Roman"/>
          <w:sz w:val="24"/>
          <w:szCs w:val="24"/>
        </w:rPr>
        <w:t xml:space="preserve">одарок, знак делового гостеприимства, стоимость которого подтверждается документами и превышает 3 тысячи рублей либо стоимость которого получившему его работнику неизвестна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</w:t>
      </w:r>
      <w:r>
        <w:rPr>
          <w:rFonts w:ascii="Times New Roman" w:hAnsi="Times New Roman" w:cs="Times New Roman"/>
          <w:b/>
          <w:sz w:val="24"/>
          <w:szCs w:val="24"/>
        </w:rPr>
        <w:t xml:space="preserve">. Ответственность работников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Работники </w:t>
      </w:r>
      <w:r>
        <w:rPr>
          <w:rFonts w:ascii="Times New Roman" w:hAnsi="Times New Roman" w:cs="Times New Roman"/>
          <w:sz w:val="24"/>
          <w:szCs w:val="24"/>
        </w:rPr>
        <w:t xml:space="preserve">ДОО </w:t>
      </w:r>
      <w:r>
        <w:rPr>
          <w:rFonts w:ascii="Times New Roman" w:hAnsi="Times New Roman" w:cs="Times New Roman"/>
          <w:sz w:val="24"/>
          <w:szCs w:val="24"/>
        </w:rPr>
        <w:t xml:space="preserve">несут дисциплинарную, административную и иную, предусмотренную федеральными законами за неисполнение настоящих Правил, ответственность.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Заключительные положения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.1. Настоящи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</w:t>
      </w:r>
      <w:r>
        <w:rPr>
          <w:rFonts w:ascii="Times New Roman" w:hAnsi="Times New Roman" w:cs="Times New Roman"/>
          <w:sz w:val="24"/>
          <w:szCs w:val="24"/>
        </w:rPr>
        <w:t xml:space="preserve"> явля</w:t>
      </w:r>
      <w:r>
        <w:rPr>
          <w:rFonts w:ascii="Times New Roman" w:hAnsi="Times New Roman" w:cs="Times New Roman"/>
          <w:sz w:val="24"/>
          <w:szCs w:val="24"/>
        </w:rPr>
        <w:t xml:space="preserve">ю</w:t>
      </w:r>
      <w:r>
        <w:rPr>
          <w:rFonts w:ascii="Times New Roman" w:hAnsi="Times New Roman" w:cs="Times New Roman"/>
          <w:sz w:val="24"/>
          <w:szCs w:val="24"/>
        </w:rPr>
        <w:t xml:space="preserve">тся нормативным локальным актом ДОО и обязател</w:t>
      </w:r>
      <w:r>
        <w:rPr>
          <w:rFonts w:ascii="Times New Roman" w:hAnsi="Times New Roman" w:cs="Times New Roman"/>
          <w:sz w:val="24"/>
          <w:szCs w:val="24"/>
        </w:rPr>
        <w:t xml:space="preserve">ьны</w:t>
      </w:r>
      <w:r>
        <w:rPr>
          <w:rFonts w:ascii="Times New Roman" w:hAnsi="Times New Roman" w:cs="Times New Roman"/>
          <w:sz w:val="24"/>
          <w:szCs w:val="24"/>
        </w:rPr>
        <w:t xml:space="preserve"> к исполнению всеми работниками.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.2. Настоящи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</w:t>
      </w:r>
      <w:r>
        <w:rPr>
          <w:rFonts w:ascii="Times New Roman" w:hAnsi="Times New Roman" w:cs="Times New Roman"/>
          <w:sz w:val="24"/>
          <w:szCs w:val="24"/>
        </w:rPr>
        <w:t xml:space="preserve"> действует до принятия нового.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>
          <w:footerReference w:type="default" r:id="rId9"/>
          <w:footerReference w:type="first" r:id="rId10"/>
          <w:footnotePr/>
          <w:endnotePr/>
          <w:type w:val="nextPage"/>
          <w:pgSz w:w="11906" w:h="16838" w:orient="portrait"/>
          <w:pgMar w:top="1134" w:right="851" w:bottom="1134" w:left="1701" w:header="0" w:footer="284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  <w:t xml:space="preserve">ЛИСТ ОЗНАКОМЛЕНИЯ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  <w:t xml:space="preserve">Правила</w:t>
      </w:r>
      <w:r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  <w:t xml:space="preserve"> обмена деловыми подарками и знаками делового гостеприимства для работников МБДОУ «Детский сад № </w:t>
      </w:r>
      <w:r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  <w:t xml:space="preserve">143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222222"/>
          <w:sz w:val="24"/>
          <w:szCs w:val="24"/>
          <w:lang w:eastAsia="ru-RU"/>
        </w:rPr>
        <w:t xml:space="preserve">»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222222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16"/>
          <w:szCs w:val="16"/>
          <w:lang w:eastAsia="ru-RU"/>
        </w:rPr>
      </w:r>
    </w:p>
    <w:tbl>
      <w:tblPr>
        <w:tblStyle w:val="880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2936"/>
        <w:gridCol w:w="2503"/>
        <w:gridCol w:w="1692"/>
        <w:gridCol w:w="1725"/>
      </w:tblGrid>
      <w:tr>
        <w:trPr/>
        <w:tc>
          <w:tcPr>
            <w:tcW w:w="715" w:type="dxa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 xml:space="preserve">№ п/п</w:t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 xml:space="preserve">Ф.И.О. сотрудника</w:t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 xml:space="preserve">Должность</w:t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 xml:space="preserve">Дата</w:t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 xml:space="preserve">Подпись</w:t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Анохина Татьяна Александровна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«Зайчик»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Аксенова Юлия Ивановна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Мл. воспитатель гр. «Зайчик»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Башева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Татьяна Федоровна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Завхоз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Барсук Валентина Анатольевна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«Звездочка»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Блохова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Наталья Геннадьевна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Ст. воспитатель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Буданова Марина Константиновна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«Цыплята»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Бужинская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Елена Александровна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Оператор стиральных машин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Важдаева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Людмила Сергеевна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сторож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Казакова Ирина Николаевна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муз руководит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Дубова Анна Сергеевна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Учитель-логопед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Карпычева Елена Израильевна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сторож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Кирилова Анна Александровна.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«Буратино»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Кириллова Людмила Валерьевна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«Звездочка»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Лазарева Мария Владимировна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мл. воспитатель гр. «Ромашка»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Мочалова Наталья Николаевна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Мл воспитатель гр. «Цыплята»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Мартышкина Татьяна Владимировна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«Буратино»</w:t>
            </w:r>
            <w:bookmarkStart w:id="0" w:name="undefined"/>
            <w:r>
              <w:rPr>
                <w:rFonts w:ascii="Times New Roman" w:hAnsi="Times New Roman" w:cs="Times New Roman"/>
                <w:b w:val="0"/>
                <w:bCs w:val="0"/>
              </w:rPr>
            </w:r>
            <w:bookmarkEnd w:id="0"/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Потапова Евгения Владимировна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«Солнышко»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Седова Алевтина Васильевна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«Цыплята»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Сержантов Александр Валерьевич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Дворник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Токарева Ольга Валерьевна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Учитель-дефектолог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Терганова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 Анастасия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Геннадьевна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Мл. воспитатель гр. «Звездочка»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Терехова Лидия Михайловна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повар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Тихонов Сергей Васильевич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Рабочий по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обсл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здания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Ульянова Наталья Владимировна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Инструктор по физ. культуре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Широкова Лариса Ивановна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«Зайчик»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Баева Анастасия Михайловна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мл.воспитатель гр. «Буратино»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Широкова Кристина Евгеньевна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воспитатель гр. «Ромашка»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  <w:tr>
        <w:trPr/>
        <w:tc>
          <w:tcPr>
            <w:tcW w:w="715" w:type="dxa"/>
            <w:vMerge w:val="restart"/>
            <w:noWrap w:val="false"/>
            <w:textDirection w:val="lrTb"/>
          </w:tcPr>
          <w:p>
            <w:pPr>
              <w:numPr>
                <w:numId w:val="4"/>
                <w:ilvl w:val="0"/>
              </w:num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936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2503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692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  <w:tc>
          <w:tcPr>
            <w:tcW w:w="1725" w:type="dxa"/>
            <w:vMerge w:val="restart"/>
            <w:noWrap w:val="false"/>
            <w:textDirection w:val="lrTb"/>
          </w:tcPr>
          <w:p>
            <w:pPr>
              <w:spacing w:line="36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283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1661225"/>
      <w:docPartObj>
        <w:docPartGallery w:val="Page Numbers (Bottom of Page)"/>
        <w:docPartUnique w:val="true"/>
      </w:docPartObj>
      <w:rPr/>
    </w:sdtPr>
    <w:sdtContent>
      <w:p>
        <w:pPr>
          <w:pStyle w:val="87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</w:p>
    </w:sdtContent>
  </w:sdt>
  <w:p>
    <w:pPr>
      <w:pStyle w:val="87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8358045"/>
      <w:docPartObj>
        <w:docPartGallery w:val="Page Numbers (Bottom of Page)"/>
        <w:docPartUnique w:val="true"/>
      </w:docPartObj>
      <w:rPr/>
    </w:sdtPr>
    <w:sdtContent>
      <w:p>
        <w:pPr>
          <w:pStyle w:val="87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</w:p>
    </w:sdtContent>
  </w:sdt>
  <w:p>
    <w:pPr>
      <w:pStyle w:val="87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6"/>
    <w:next w:val="866"/>
    <w:link w:val="693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basedOn w:val="867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6"/>
    <w:next w:val="866"/>
    <w:link w:val="69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7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6"/>
    <w:next w:val="866"/>
    <w:link w:val="69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7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6"/>
    <w:next w:val="866"/>
    <w:link w:val="69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7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6"/>
    <w:next w:val="866"/>
    <w:link w:val="70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7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6"/>
    <w:next w:val="866"/>
    <w:link w:val="70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7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6"/>
    <w:next w:val="866"/>
    <w:link w:val="70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7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6"/>
    <w:next w:val="866"/>
    <w:link w:val="70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7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6"/>
    <w:next w:val="866"/>
    <w:link w:val="70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7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6"/>
    <w:next w:val="866"/>
    <w:link w:val="712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2">
    <w:name w:val="Title Char"/>
    <w:basedOn w:val="867"/>
    <w:link w:val="711"/>
    <w:uiPriority w:val="10"/>
    <w:rPr>
      <w:sz w:val="48"/>
      <w:szCs w:val="48"/>
    </w:rPr>
  </w:style>
  <w:style w:type="paragraph" w:styleId="713">
    <w:name w:val="Subtitle"/>
    <w:basedOn w:val="866"/>
    <w:next w:val="866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7"/>
    <w:link w:val="713"/>
    <w:uiPriority w:val="11"/>
    <w:rPr>
      <w:sz w:val="24"/>
      <w:szCs w:val="24"/>
    </w:rPr>
  </w:style>
  <w:style w:type="paragraph" w:styleId="715">
    <w:name w:val="Quote"/>
    <w:basedOn w:val="866"/>
    <w:next w:val="866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6"/>
    <w:next w:val="866"/>
    <w:link w:val="71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7"/>
    <w:link w:val="876"/>
    <w:uiPriority w:val="99"/>
  </w:style>
  <w:style w:type="character" w:styleId="720">
    <w:name w:val="Footer Char"/>
    <w:basedOn w:val="867"/>
    <w:link w:val="878"/>
    <w:uiPriority w:val="99"/>
  </w:style>
  <w:style w:type="paragraph" w:styleId="721">
    <w:name w:val="Caption"/>
    <w:basedOn w:val="866"/>
    <w:next w:val="8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878"/>
    <w:uiPriority w:val="99"/>
  </w:style>
  <w:style w:type="table" w:styleId="723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8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59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60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61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62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63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64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2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3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4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5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2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3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4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5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6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7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7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7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spacing w:after="57"/>
      <w:ind w:left="0" w:right="0" w:firstLine="0"/>
    </w:pPr>
  </w:style>
  <w:style w:type="paragraph" w:styleId="856">
    <w:name w:val="toc 2"/>
    <w:basedOn w:val="866"/>
    <w:next w:val="866"/>
    <w:uiPriority w:val="39"/>
    <w:unhideWhenUsed/>
    <w:pPr>
      <w:spacing w:after="57"/>
      <w:ind w:left="283" w:right="0" w:firstLine="0"/>
    </w:pPr>
  </w:style>
  <w:style w:type="paragraph" w:styleId="857">
    <w:name w:val="toc 3"/>
    <w:basedOn w:val="866"/>
    <w:next w:val="866"/>
    <w:uiPriority w:val="39"/>
    <w:unhideWhenUsed/>
    <w:pPr>
      <w:spacing w:after="57"/>
      <w:ind w:left="567" w:right="0" w:firstLine="0"/>
    </w:pPr>
  </w:style>
  <w:style w:type="paragraph" w:styleId="858">
    <w:name w:val="toc 4"/>
    <w:basedOn w:val="866"/>
    <w:next w:val="866"/>
    <w:uiPriority w:val="39"/>
    <w:unhideWhenUsed/>
    <w:pPr>
      <w:spacing w:after="57"/>
      <w:ind w:left="850" w:right="0" w:firstLine="0"/>
    </w:pPr>
  </w:style>
  <w:style w:type="paragraph" w:styleId="859">
    <w:name w:val="toc 5"/>
    <w:basedOn w:val="866"/>
    <w:next w:val="866"/>
    <w:uiPriority w:val="39"/>
    <w:unhideWhenUsed/>
    <w:pPr>
      <w:spacing w:after="57"/>
      <w:ind w:left="1134" w:right="0" w:firstLine="0"/>
    </w:pPr>
  </w:style>
  <w:style w:type="paragraph" w:styleId="860">
    <w:name w:val="toc 6"/>
    <w:basedOn w:val="866"/>
    <w:next w:val="866"/>
    <w:uiPriority w:val="39"/>
    <w:unhideWhenUsed/>
    <w:pPr>
      <w:spacing w:after="57"/>
      <w:ind w:left="1417" w:right="0" w:firstLine="0"/>
    </w:pPr>
  </w:style>
  <w:style w:type="paragraph" w:styleId="861">
    <w:name w:val="toc 7"/>
    <w:basedOn w:val="866"/>
    <w:next w:val="866"/>
    <w:uiPriority w:val="39"/>
    <w:unhideWhenUsed/>
    <w:pPr>
      <w:spacing w:after="57"/>
      <w:ind w:left="1701" w:right="0" w:firstLine="0"/>
    </w:pPr>
  </w:style>
  <w:style w:type="paragraph" w:styleId="862">
    <w:name w:val="toc 8"/>
    <w:basedOn w:val="866"/>
    <w:next w:val="866"/>
    <w:uiPriority w:val="39"/>
    <w:unhideWhenUsed/>
    <w:pPr>
      <w:spacing w:after="57"/>
      <w:ind w:left="1984" w:right="0" w:firstLine="0"/>
    </w:pPr>
  </w:style>
  <w:style w:type="paragraph" w:styleId="863">
    <w:name w:val="toc 9"/>
    <w:basedOn w:val="866"/>
    <w:next w:val="866"/>
    <w:uiPriority w:val="39"/>
    <w:unhideWhenUsed/>
    <w:pPr>
      <w:spacing w:after="57"/>
      <w:ind w:left="2268" w:right="0" w:firstLine="0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  <w:pPr>
      <w:spacing w:line="256" w:lineRule="auto"/>
    </w:p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Balloon Text"/>
    <w:basedOn w:val="866"/>
    <w:link w:val="87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1" w:customStyle="1">
    <w:name w:val="Текст выноски Знак"/>
    <w:basedOn w:val="867"/>
    <w:link w:val="870"/>
    <w:uiPriority w:val="99"/>
    <w:semiHidden/>
    <w:rPr>
      <w:rFonts w:ascii="Segoe UI" w:hAnsi="Segoe UI" w:cs="Segoe UI"/>
      <w:sz w:val="18"/>
      <w:szCs w:val="18"/>
    </w:rPr>
  </w:style>
  <w:style w:type="paragraph" w:styleId="872">
    <w:name w:val="List Paragraph"/>
    <w:basedOn w:val="866"/>
    <w:uiPriority w:val="34"/>
    <w:qFormat/>
    <w:pPr>
      <w:ind w:left="720"/>
      <w:contextualSpacing/>
    </w:pPr>
  </w:style>
  <w:style w:type="table" w:styleId="873" w:customStyle="1">
    <w:name w:val="Сетка таблицы1"/>
    <w:basedOn w:val="868"/>
    <w:next w:val="874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4">
    <w:name w:val="Table Grid"/>
    <w:basedOn w:val="868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5" w:customStyle="1">
    <w:name w:val="Сетка таблицы2"/>
    <w:basedOn w:val="868"/>
    <w:next w:val="874"/>
    <w:uiPriority w:val="59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76">
    <w:name w:val="Header"/>
    <w:basedOn w:val="866"/>
    <w:link w:val="877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77" w:customStyle="1">
    <w:name w:val="Верхний колонтитул Знак"/>
    <w:basedOn w:val="867"/>
    <w:link w:val="876"/>
    <w:uiPriority w:val="99"/>
  </w:style>
  <w:style w:type="paragraph" w:styleId="878">
    <w:name w:val="Footer"/>
    <w:basedOn w:val="866"/>
    <w:link w:val="879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79" w:customStyle="1">
    <w:name w:val="Нижний колонтитул Знак"/>
    <w:basedOn w:val="867"/>
    <w:link w:val="878"/>
    <w:uiPriority w:val="99"/>
  </w:style>
  <w:style w:type="table" w:styleId="880" w:customStyle="1">
    <w:name w:val="Сетка таблицы3"/>
    <w:basedOn w:val="868"/>
    <w:next w:val="874"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mailto:ds143_nn@mail.52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81464-14FE-4342-8276-B9EB01FA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33</cp:revision>
  <dcterms:created xsi:type="dcterms:W3CDTF">2020-07-14T11:04:00Z</dcterms:created>
  <dcterms:modified xsi:type="dcterms:W3CDTF">2026-07-17T07:20:41Z</dcterms:modified>
</cp:coreProperties>
</file>