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-421671</wp:posOffset>
                </wp:positionH>
                <wp:positionV relativeFrom="paragraph">
                  <wp:posOffset>-620112</wp:posOffset>
                </wp:positionV>
                <wp:extent cx="10621381" cy="7548975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6146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0" r="0" b="9771"/>
                        <a:stretch/>
                      </pic:blipFill>
                      <pic:spPr bwMode="auto">
                        <a:xfrm rot="0" flipH="0" flipV="0">
                          <a:off x="0" y="0"/>
                          <a:ext cx="10621380" cy="7548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-33.2pt;mso-position-horizontal:absolute;mso-position-vertical-relative:text;margin-top:-48.8pt;mso-position-vertical:absolute;width:836.3pt;height:594.4pt;mso-wrap-distance-left:9.1pt;mso-wrap-distance-top:0.0pt;mso-wrap-distance-right:9.1pt;mso-wrap-distance-bottom:0.0pt;rotation:0;" wrapcoords="0 0 100000 0 100000 100000 0 100000" stroked="false">
                <v:path textboxrect="0,0,0,0"/>
                <w10:wrap type="through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УТВЕРЖДАЮ:</w:t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МБДОУ «Детский сад № 143»</w:t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  Т.И.Демченко</w:t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(ФИО, должность лица, ответственного лица за подготовку многоквартирного дома (многоквартирных домов) к отопительному периоду)</w:t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eastAsia="Calibri" w:cs="Times New Roman"/>
          <w:sz w:val="28"/>
          <w:szCs w:val="28"/>
        </w:rPr>
        <w:t xml:space="preserve">«____» __________ ____ г.</w:t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СОГЛАСОВАН:</w:t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</w:t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(ФИО, должность представителя единой теплоснабжающей организации)</w:t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«____» __________ ____ г.</w:t>
      </w:r>
    </w:p>
    <w:p>
      <w:pPr>
        <w:pStyle w:val="822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822"/>
        <w:spacing w:before="0"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подготовки к отопительному периоду 2025-2026 гг.</w:t>
      </w:r>
    </w:p>
    <w:p>
      <w:pPr>
        <w:pStyle w:val="822"/>
        <w:spacing w:before="0"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МБДОУ «Детский сад № 143»,</w:t>
      </w:r>
    </w:p>
    <w:p>
      <w:pPr>
        <w:pStyle w:val="822"/>
        <w:spacing w:before="0"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расположенного по адресу: 603009, г. Нижний Новгород, ул. Батумская, д. 9В</w:t>
      </w:r>
    </w:p>
    <w:p>
      <w:pPr>
        <w:pStyle w:val="822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22"/>
        <w:spacing w:before="0" w:after="0" w:line="240" w:lineRule="auto"/>
        <w:ind w:left="921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tbl>
      <w:tblPr>
        <w:tblW w:w="15850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16"/>
        <w:gridCol w:w="7620"/>
        <w:gridCol w:w="1985"/>
        <w:gridCol w:w="1701"/>
        <w:gridCol w:w="2092"/>
        <w:gridCol w:w="1635"/>
      </w:tblGrid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 w:eastAsia="en-US" w:bidi="ar-SA"/>
              </w:rPr>
              <w:t xml:space="preserve">п/п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 w:eastAsia="en-US" w:bidi="ar-SA"/>
              </w:rPr>
              <w:t xml:space="preserve">Организационные и технические мероприятия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 w:eastAsia="en-US" w:bidi="ar-SA"/>
              </w:rPr>
              <w:t xml:space="preserve">Ответственный за выполнение</w:t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 w:eastAsia="en-US" w:bidi="ar-SA"/>
              </w:rPr>
              <w:t xml:space="preserve">Срок выполнения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 w:eastAsia="en-US" w:bidi="ar-SA"/>
              </w:rPr>
              <w:t xml:space="preserve">Примечание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 w:eastAsia="en-US" w:bidi="ar-SA"/>
              </w:rPr>
              <w:t xml:space="preserve">Отметка о выполнении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1.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Выполнение требований, установленных частью 6 статьи 20 и частью 3 статьи 23.2 Федерального закона от 27.07.2010                 № 190-ФЗ «О теплоснабжении» (далее – Федеральный закон № 190-ФЗ)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Постоянно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1.План действий по ликвидации последствий аварийных ситуаций в сфере теплоснабжения.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2. Схема теплоснабжения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3. Приказ о назначении ответственного за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теплохозяйство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1. Утвержден 09.01.2025</w:t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2. Имеется</w:t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3. Имеется</w:t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 w:eastAsia="Calibri" w:cs="Times New Roman" w:eastAsiaTheme="minorHAnsi"/>
                <w:b w:val="0"/>
                <w:bCs w:val="0"/>
                <w:sz w:val="24"/>
                <w:szCs w:val="24"/>
                <w:shd w:val="clear" w:color="auto" w:fill="auto"/>
                <w:lang w:val="ru-RU" w:eastAsia="en-US" w:bidi="ar-SA"/>
              </w:rPr>
              <w:t xml:space="preserve">10-О 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от 02.09.2024 г.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1.1.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Обеспечение эксплуатации теплопотребляющих установок в соответствии с требованиями безопасности в сфере теплоснабжения, установленными статьей 23.2 Федерального закона № 190-ФЗ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Пройти ежегодное обучение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1.2.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Обеспечение готовности к соблюдению указанного в договоре теплоснабжения режима потребления тепловой энергии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Постоянно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Контракт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625702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none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от 20.02.2023 г.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before="240" w:after="0" w:line="57" w:lineRule="atLeast"/>
              <w:ind w:left="0" w:right="0" w:firstLine="567"/>
              <w:jc w:val="both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</w:r>
          </w:p>
          <w:p>
            <w:pPr>
              <w:pStyle w:val="822"/>
              <w:widowControl w:val="off"/>
              <w:spacing w:before="0" w:after="200"/>
            </w:pPr>
          </w:p>
        </w:tc>
      </w:tr>
      <w:tr>
        <w:trPr>
          <w:trHeight w:val="421"/>
        </w:trPr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1.3.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Обеспечение отсутствия задолженности за поставленные тепловую энергию (мощность), теплоноситель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Постоянно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Платежное поручение №4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от 23.01.2025 г.- 677 038,19 руб.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(аванс за 2025 г.)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421"/>
        </w:trPr>
        <w:tc>
          <w:tcPr>
            <w:tcW w:w="816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1.4.</w:t>
            </w:r>
          </w:p>
        </w:tc>
        <w:tc>
          <w:tcPr>
            <w:tcW w:w="7620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Организация коммерческого учета тепловой энергии, теплоносителя в соответствии с требованиями, установленными статьей 19 Федерального закона № 190-ФЗ</w:t>
            </w:r>
          </w:p>
        </w:tc>
        <w:tc>
          <w:tcPr>
            <w:tcW w:w="198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none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Узел учет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 ГВС принят в эксплуатацию</w:t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Theme="minorHAnsi" w:hAnsiTheme="minorHAnsi" w:eastAsiaTheme="minorHAnsi" w:cstheme="minorBidi"/>
                <w:highlight w:val="none"/>
                <w:shd w:val="clear" w:color="auto" w:fill="auto"/>
              </w:rPr>
            </w:pPr>
            <w:r>
              <w:rPr>
                <w:rFonts w:ascii="Times New Roman" w:hAnsi="Times New Roman" w:eastAsia="Calibri" w:cs="Times New Roman" w:eastAsiaTheme="minorHAnsi"/>
                <w:sz w:val="24"/>
                <w:szCs w:val="24"/>
                <w:shd w:val="clear" w:color="auto" w:fill="auto"/>
                <w:lang w:val="ru-RU" w:eastAsia="en-US" w:bidi="ar-SA"/>
              </w:rPr>
              <w:t xml:space="preserve">25.09.2023 г.</w:t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92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Организация, обслуживающая узлы учета  тепловой энергии – ИП Чернышев И.А.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договор № 708/25с от 14.01.2025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09.01.2025 по 31.12.2025</w:t>
            </w:r>
          </w:p>
        </w:tc>
        <w:tc>
          <w:tcPr>
            <w:tcW w:w="163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Выполнение требований Правил и норм технической эксплуатации жилищного фонда, утвержденных постановлением Госстроя России от 27.09.2003 № 170 (далее – Правила № 170), в том числе: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Постоянно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2.1.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устранение неисправностей: стен, ф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асадов, крыш, перекрытий чердачных и над техническими подпольями (подвалами), проездами, оконных и дверных заполнений, а также отопительных печей, дымоходов, газоходов, внутренних систем тепло-, водо- и электроснабжения и установок с газовыми нагревателями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Постоянно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Неисправности устраняются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 мере возникновения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2.2.</w:t>
            </w:r>
          </w:p>
        </w:tc>
        <w:tc>
          <w:tcPr>
            <w:tcW w:w="7620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приведение в технически исправное состояние территории домовладений с обеспечением беспрепятственного отвода атмосферных и талых вод от отмостки, от спусков (входов) в подвал и их оконных приямков</w:t>
            </w:r>
          </w:p>
        </w:tc>
        <w:tc>
          <w:tcPr>
            <w:tcW w:w="198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Постоянно</w:t>
            </w:r>
          </w:p>
        </w:tc>
        <w:tc>
          <w:tcPr>
            <w:tcW w:w="2092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Прилегающая к зданию ДОУ территория очищается от снега, ливневая канализация регулярно прочищается</w:t>
            </w:r>
          </w:p>
        </w:tc>
        <w:tc>
          <w:tcPr>
            <w:tcW w:w="163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2.3.</w:t>
            </w:r>
          </w:p>
        </w:tc>
        <w:tc>
          <w:tcPr>
            <w:tcW w:w="7620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обеспечение надлежащей гидроизоляции фундаментов, стен подвала и цоколя и их сопряжения со смежными конструкциями, лестничных клеток, подвальных и чердачных помещений, машинных отделений лифтов, исправность пожарных гидрантов</w:t>
            </w:r>
          </w:p>
        </w:tc>
        <w:tc>
          <w:tcPr>
            <w:tcW w:w="198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Постоянно</w:t>
            </w:r>
          </w:p>
        </w:tc>
        <w:tc>
          <w:tcPr>
            <w:tcW w:w="2092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Подвальное помещение и цоколь здания ДОУ находится в удовлетворительном состоянии</w:t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2.4.</w:t>
            </w:r>
          </w:p>
        </w:tc>
        <w:tc>
          <w:tcPr>
            <w:tcW w:w="7620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обеспечение котельных, тепловых пунктов и узлов средствами автоматизации, контрольно-измерительными приборами (КИП), запорной регулирующей аппаратурой, схемами разводки систем отопления, ГВС, ХВС, приточно-вытяжной вентиляции, конструкциями с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указанием использования оборудования при различных эксплуатационных режимах (наполнении, подпитке, спуске воды из систем отопления и др.), техническими паспортами оборудования, режимными картами, журналами записи параметров, журналами дефектов оборудования</w:t>
            </w:r>
          </w:p>
        </w:tc>
        <w:tc>
          <w:tcPr>
            <w:tcW w:w="198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Постоянно</w:t>
            </w:r>
          </w:p>
        </w:tc>
        <w:tc>
          <w:tcPr>
            <w:tcW w:w="2092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Узел учета ГВС оснащен контрольно-измерительными приборами(КИП), запорной регулирующей аппаратурой, схемами разводки систем отопления</w:t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2.5.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выполнение наладки внутриквартальных сетей с корректировкой расчетных диаметров дросселирующих устройств на тепловом (элеваторном) узле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2.6.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выполнение наладки запорно-предохранительных клапанов и регуляторов давления устройств газового хозяйства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2.7.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укомплектование оборудования насосных станций, систем противопожарного оборудования основным и резервным оборудованием, обеспечение автоматического включения резервных насосов при отказе основных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2.8.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ревизия арматуры и оборудования приборов КИП (контрольно-измерительных приборов) и автом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атики котельных, устранение щелей в обмуровке котлов и дымоходов, подготовка контингента операторов и осуществление завоза топлива: твердого - в расчете 70% потребности в отопительном сезоне, жидкого - по наличию складов, но не менее среднемесячного запаса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2.9.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промывка систем тепловых сетей, ревизия арматуры, устранение постоянных и периодических засорений каналов, восстановление разрушенной или замена недостаточной тепловой изоляции труб в камерах, подземных каналах и подвалах (технических подпольях)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Theme="minorHAnsi" w:hAnsiTheme="minorHAnsi" w:eastAsiaTheme="minorHAnsi" w:cstheme="minorBidi"/>
                <w:highlight w:val="none"/>
                <w:shd w:val="clear" w:color="auto" w:fill="auto"/>
              </w:rPr>
            </w:pPr>
            <w:r>
              <w:rPr>
                <w:rFonts w:ascii="Times New Roman" w:hAnsi="Times New Roman" w:eastAsia="Calibri" w:cs="Times New Roman" w:eastAsiaTheme="minorHAnsi"/>
                <w:sz w:val="24"/>
                <w:szCs w:val="24"/>
                <w:shd w:val="clear" w:color="auto" w:fill="auto"/>
                <w:lang w:val="ru-RU" w:eastAsia="en-US" w:bidi="ar-SA"/>
              </w:rPr>
              <w:t xml:space="preserve">Договор на промывку и опрессовку тепловых сетей  </w:t>
            </w:r>
            <w:r>
              <w:rPr>
                <w:rFonts w:ascii="Times New Roman" w:hAnsi="Times New Roman" w:eastAsia="Calibri" w:cs="Times New Roman" w:eastAsiaTheme="minorHAnsi"/>
                <w:sz w:val="24"/>
                <w:szCs w:val="24"/>
                <w:shd w:val="clear" w:color="auto" w:fill="auto"/>
                <w:lang w:val="ru-RU" w:eastAsia="en-US" w:bidi="ar-SA"/>
              </w:rPr>
              <w:t xml:space="preserve">ООО «</w:t>
            </w:r>
            <w:r>
              <w:rPr>
                <w:rFonts w:ascii="Times New Roman" w:hAnsi="Times New Roman" w:eastAsia="Calibri" w:cs="Times New Roman" w:eastAsiaTheme="minorHAnsi"/>
                <w:sz w:val="24"/>
                <w:szCs w:val="24"/>
                <w:shd w:val="clear" w:color="auto" w:fill="auto"/>
                <w:lang w:val="ru-RU" w:eastAsia="en-US" w:bidi="ar-SA"/>
              </w:rPr>
              <w:t xml:space="preserve">Р</w:t>
            </w:r>
            <w:r>
              <w:rPr>
                <w:rFonts w:ascii="Times New Roman" w:hAnsi="Times New Roman" w:eastAsia="Calibri" w:cs="Times New Roman" w:eastAsiaTheme="minorHAnsi"/>
                <w:sz w:val="24"/>
                <w:szCs w:val="24"/>
                <w:shd w:val="clear" w:color="auto" w:fill="auto"/>
                <w:lang w:val="ru-RU" w:eastAsia="en-US" w:bidi="ar-SA"/>
              </w:rPr>
              <w:t xml:space="preserve">емонтно -эксплуатационное предприятие 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Theme="minorHAnsi" w:hAnsiTheme="minorHAnsi" w:eastAsiaTheme="minorHAnsi" w:cstheme="minorBidi"/>
                <w:highlight w:val="none"/>
                <w:shd w:val="clear" w:color="auto" w:fill="auto"/>
              </w:rPr>
            </w:pPr>
            <w:r>
              <w:rPr>
                <w:rFonts w:ascii="Times New Roman" w:hAnsi="Times New Roman" w:eastAsia="Calibri" w:cs="Times New Roman" w:eastAsiaTheme="minorHAnsi"/>
                <w:sz w:val="24"/>
                <w:szCs w:val="24"/>
                <w:shd w:val="clear" w:color="auto" w:fill="auto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 w:eastAsia="Calibri" w:cs="Times New Roman" w:eastAsiaTheme="minorHAnsi"/>
                <w:sz w:val="24"/>
                <w:szCs w:val="24"/>
                <w:shd w:val="clear" w:color="auto" w:fill="auto"/>
                <w:lang w:val="ru-RU" w:eastAsia="en-US" w:bidi="ar-SA"/>
              </w:rPr>
              <w:t xml:space="preserve">1» </w:t>
            </w:r>
            <w:r>
              <w:rPr>
                <w:rFonts w:ascii="Times New Roman" w:hAnsi="Times New Roman" w:eastAsia="Calibri" w:cs="Times New Roman" w:eastAsiaTheme="minorHAnsi"/>
                <w:sz w:val="24"/>
                <w:szCs w:val="24"/>
                <w:shd w:val="clear" w:color="auto" w:fill="auto"/>
                <w:lang w:val="ru-RU" w:eastAsia="en-US" w:bidi="ar-SA"/>
              </w:rPr>
              <w:t xml:space="preserve">от 18.04.2025 г. № 11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2.10.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ревизия арматуры и оборудования (насосов, подогревателей и др.) тепловых пунктов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2.11.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ревизия кранов и другой запорной арматуры расширителей и воздухосборников сист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ем отопления и горячего водоснабжения, восстановление разрушенных или замена недостаточной тепловой изоляции труб в лестничных клетках, подвалах, чердаках и в нишах санитарных узлов. При наличии непрогрева радиаторов проведение гидропневматической промывки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3.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Выполнение требований к оснащенности газоиспользующего оборудования теплоутилизирующим оборудованием, средствами автомати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зации, теплотехнического контроля, учета выработки и потребления энергоресурсов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4.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Выполнение предписаний Ростехнадзора, содержащих требования об устранении нарушений требований пунктов 2.2.1, 2.3.14, 2.3.15, 2.8.1, 6.2.52, 6.2.62, 9.1.53, 9.2.9, 9.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2.10, 9.2.12, 9.2.13, 9.2.20, 9.3.10, 9.3.11, 9.3.19, 9.3.24, 9.3.25, 10.1.9, 11.1, 11.2, 11.5 Правил технической эксплуатации тепловых энергоустановок, утвержденных приказом Минэнерго России от 24.03.2003 № 115 (далее - Правила № 115), пунктов 394, 396 -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399, 403 федеральных норм и правил в области промышленной безопасности «Правила промышленной безопасности при использовании оборудования, работающего под избыточным давлением», утвержденных приказом Ростехнадзора от 15.12.2020 № 536 (далее – Правила № 536)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Выполнение настоящего плана подготовки к отопительному периоду и представление комиссии в установленный ею срок документов, подтверждающих выполнение требований пунктов 1-4 настоящего плана, а также: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актов промывки теплопотребляющей установки, проведенной в присутствии представителя единой теплоснабжающей организации, в зону (зоны) деятельности которой входит система (системы) теплоснабжения, установленных требованиями </w:t>
            </w:r>
            <w:hyperlink r:id="rId16" w:tooltip="https://login.consultant.ru/link/?req=doc&amp;base=LAW&amp;n=41812&amp;dst=101548" w:history="1">
              <w:r>
                <w:rPr>
                  <w:rFonts w:ascii="Times New Roman" w:hAnsi="Times New Roman" w:eastAsia="Calibri" w:cs="Times New Roman"/>
                  <w:sz w:val="24"/>
                  <w:szCs w:val="24"/>
                  <w:lang w:val="ru-RU" w:eastAsia="en-US" w:bidi="ar-SA"/>
                </w:rPr>
                <w:t xml:space="preserve">пункта 9.2.9</w:t>
              </w:r>
            </w:hyperlink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Правил № 115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5.2.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актов о проведении наладки режимов потребления тепловой энергии и (или) теплоносителя (в том числе тепловых и гидравлических режимов) теплового пункта, внутридомо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вых сетей и теплопотребляющих установок, актов об установке и пломбировании дроссельных (ограничительных) устройств во внутренних системах, включая элеваторы и шайбы на линиях рециркуляции горячего водоснабжения в соответствии с пунктом 9.3.25 Правил № 115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5.3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акта проверки (осмотра) запорной арматуры, в том числе в высших (воздушники) и низших точках трубопровода (спускники) и арматуры постоянного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регулирования на предмет наличия и работоспособности, плотности (герметичности) сальниковых уплотнений, наличия теплоизоляции в соответствии с проектными решениями, наличия неповрежденных пломб, установленных теплоснабжающими и теплосетевыми организациями</w:t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bookmarkStart w:id="1" w:name="_GoBack"/>
            <w:bookmarkEnd w:id="1"/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5.4.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организационно-распорядительных документов организации о назначении ответственных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лиц за безопасную эксплуатацию тепловых энергоустановок для объектов, не являющихся опасными производственными объектами (далее - ОПО), в соответствии с пунктами 2.1.2, 2.1.3 Правил № 115, в случае эксплуатации оборудования, отнесенного к ОПО - организацио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нно-распорядительных документов организации о назначении лиц, ответственных за безопасную эксплуатацию оборудования, работающего под избыточным давлением, и ответственных за осуществление производственного контроля в соответствии с пунктом 228 Правил № 536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5.5.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ов о проведении испытаний на плотность и прочность (гидравлических испытаний) тепловых энергоустановок, включая трубопроводы тепловых сетей (при наличии) и участков тепловых вводов (до вводной запорной арматуры) в границах балансовой принадлежности, оборуд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ования индивидуальных тепловых пунктов и внутренних систем теплопотребления в соответствии с требованиями пунктов 9.8, 9.1.59 Правил № 115 и наличие записей о результатах проведенных испытаний в паспорте теплового пункта и (или) теплопотребляющих установок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5.6.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организационно-распорядительных документов об утверждении перечня производственных инструкций для безопасной эксплуатации котлов и вспомогательного оборудования в случае эксплуатации ОПО, разработанного в соответствии с </w:t>
            </w:r>
            <w:hyperlink r:id="rId17" w:tooltip="https://login.consultant.ru/link/?req=doc&amp;base=LAW&amp;n=373204&amp;dst=100981" w:history="1">
              <w:r>
                <w:rPr>
                  <w:rFonts w:ascii="Times New Roman" w:hAnsi="Times New Roman" w:eastAsia="Calibri" w:cs="Times New Roman"/>
                  <w:sz w:val="24"/>
                  <w:szCs w:val="24"/>
                  <w:lang w:val="ru-RU" w:eastAsia="en-US" w:bidi="ar-SA"/>
                </w:rPr>
                <w:t xml:space="preserve">пунктом 278</w:t>
              </w:r>
            </w:hyperlink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Правил № 536, и (или) перечня документации эксплуатирующей организации для объектов, не являющихся ОПО, разработанного в соответствии с </w:t>
            </w:r>
            <w:hyperlink r:id="rId18" w:tooltip="https://login.consultant.ru/link/?req=doc&amp;base=LAW&amp;n=41812&amp;dst=100387" w:history="1">
              <w:r>
                <w:rPr>
                  <w:rFonts w:ascii="Times New Roman" w:hAnsi="Times New Roman" w:eastAsia="Calibri" w:cs="Times New Roman"/>
                  <w:sz w:val="24"/>
                  <w:szCs w:val="24"/>
                  <w:lang w:val="ru-RU" w:eastAsia="en-US" w:bidi="ar-SA"/>
                </w:rPr>
                <w:t xml:space="preserve">пунктом 2.8.2</w:t>
              </w:r>
            </w:hyperlink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Правил              № 115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5.7.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утвержденных в соответствии с требованиями пункта 2.2 Правил № 115 эксплуатационных инструкций объектов теплоснабжения и (или) производственных инструкций, разработанных в соответствии с пунктом 278 Правил № 536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5.8.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паспортов тепловых пунктов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или копий паспортов тепловых пунктов в соответствии с пунктом 9.1.5 Правил № 115, а также проектно-технической документации на здание (сооружение) в части внутренних систем теплоснабжения по теплопотребляющим установкам, установленным в здании (сооружении)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Имеются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5.9.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выписки из утвержденного штатного расписания, по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дтверждающей наличие персонала, осуществляющего функции эксплуатационной, диспетчерской и аварийной служб или документы на техническое обслуживание, энергосервисные контракты в случае привлечения специализированных организаций для эксплуатации оборудования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5.10.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актов или документов, подтверждающих проверку работоспособности автоматических регуляторов температуры воды, подаваемой в системы горячего водоснабжения, а также проверку настроечных характеристик и уст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ановок систем регулирования и (или) регуляторов температуры и давления теплоносителя на системы отопления и воды, на системы горячего водоснабжения, ограничения расхода сетевой воды через тепловой пункт в соответствии с пунктами 9.3.22, 9.4.18 Правил № 115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5.11.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актов осмотра объектов теплоснабжения и теплопотребляющих установок на предмет наличия несанкционированн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ых врезок для разбора сетевой воды или потребления тепловой энергии на теплопотребляющих энергоустановках, или для переключения закрытой системы теплоснабжения на открытую систему теплоснабжения с разбором сетевой воды или отступлений от проектного решения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5.12.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копий заключенных догово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ров теплоснабжения и (или) договоров оказания услуг по поддержанию резервной тепловой мощности в соответствии с Правилами организации теплоснабжения в Российской Федерации, утвержденными постановлением Правительства Российской Федерации от 08.08.2012 № 808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Контракт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625702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none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от 20.02.2023 г.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АО «Теплоэнерго»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5.13.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акта сверки расчетов за поставленные тепловую энергию (мощность), теплоноситель, горячую воду, оказание услуг по поддерж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анию резервной тепловой мощности по состоянию на дату проверки, подтверждающего отсутствие задолженности, либо подписанного сторонами документа, подтверждающего урегулирование с теплоснабжающей организацией порядка погашения всей существующей задолженности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5.14.</w:t>
            </w:r>
          </w:p>
        </w:tc>
        <w:tc>
          <w:tcPr>
            <w:tcW w:w="7620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актов периодической проверки узла учета, составленных в соответствии с </w:t>
            </w:r>
            <w:hyperlink r:id="rId19" w:tooltip="https://login.consultant.ru/link/?req=doc&amp;base=LAW&amp;n=401404&amp;dst=100197" w:history="1">
              <w:r>
                <w:rPr>
                  <w:rFonts w:ascii="Times New Roman" w:hAnsi="Times New Roman" w:eastAsia="Calibri" w:cs="Times New Roman"/>
                  <w:sz w:val="24"/>
                  <w:szCs w:val="24"/>
                  <w:lang w:val="ru-RU" w:eastAsia="en-US" w:bidi="ar-SA"/>
                </w:rPr>
                <w:t xml:space="preserve">пунктом 73</w:t>
              </w:r>
            </w:hyperlink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Правил коммерческого учета тепловой энергии, теплоносителя, утвержденных постановлением  Правительства Российской Федерации от 18.11.2013 № 1034, актов разграничения балансовой принадлежности</w:t>
            </w:r>
          </w:p>
        </w:tc>
        <w:tc>
          <w:tcPr>
            <w:tcW w:w="198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Организация, обслуживающая узлы учета  тепловой энергии – ИП Чернышев И.А.,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договор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708/25с от 14.01.2025</w:t>
            </w:r>
          </w:p>
          <w:p>
            <w:pPr>
              <w:widowControl w:val="off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09.01.2025 по 31.12.2025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63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5.15.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актов проверки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контрольно-измерительных приборов в тепловом пункте, с указанием заводских номеров, отметки о наличии паспортов контрольно-измерительных приборов в соответствии с пунктом 11.5 Правил № 115, содержащих результаты поверки средств измерений в соответствии с </w:t>
            </w:r>
            <w:hyperlink r:id="rId20" w:tooltip="https://login.consultant.ru/link/?req=doc&amp;base=LAW&amp;n=470975&amp;dst=62" w:history="1">
              <w:r>
                <w:rPr>
                  <w:rFonts w:ascii="Times New Roman" w:hAnsi="Times New Roman" w:eastAsia="Calibri" w:cs="Times New Roman"/>
                  <w:sz w:val="24"/>
                  <w:szCs w:val="24"/>
                  <w:lang w:val="ru-RU" w:eastAsia="en-US" w:bidi="ar-SA"/>
                </w:rPr>
                <w:t xml:space="preserve">частью 4 статьи 13</w:t>
              </w:r>
            </w:hyperlink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 Федерального закона от 26.06.2008 № 102-ФЗ «Об обеспечении единства измерений»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5.16.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акта выполненных работ по подготовке к отопительному периоду теплового контура здания в соответствии с требованиями пункта 2.6.10 Правил № 170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5.17.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актов о проведении дезинфекции систем теплопотребления с открытой схемой теплоснаб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жения и горячего водоснабжения в соответствии с пунктом 5.2.10 Правил № 170, санитарными правилами и нормами СанПиН 1.2.3685-21 и актов о результатах отбора проб воды из системы на соответствие с СанПиН 1.2.3685-21, оформленных аккредитованной лабораторией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5.18.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копию акта обследования дымовы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х и вентиляционных каналов многоквартирных домов перед отопительным периодом, копию действующего (действующих) документа (документов), подтверждающих выполнение технического обслуживания и ремонта внутридомового газового оборудования в многоквартирном доме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200"/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200"/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200"/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Не имеется</w:t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5.19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подписанного представителем тепло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снабжающей организации и уполномоченным представителем потребителя тепловой энергии акта проверки технической готовности теплопотребляющей установки объекта к отопительному периоду (рекомендуемый образец содержится в приложении к Правилам обеспечения готов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ности к отопительному периоду, утвержденных приказом Минэнерго России от 13 ноября 2024 г. № 2234 (далее – Правила № 2234)), составленного по результатам анализа документов и визуального осмотра, с указанием выявленных замечаний, свидетельствующих о несобл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юдении потребителем требований безопасной эксплуатации теплопотребляющих установок и (или) невыполнении мероприятий, обеспечивающих соблюдение указанного в договоре теплоснабжения или предусмотренного нормативными актами режима потребления тепловой энергии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До 31.07.2025</w:t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6.</w:t>
            </w:r>
          </w:p>
        </w:tc>
        <w:tc>
          <w:tcPr>
            <w:tcW w:w="7620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Мероприятия, направленные на устранение проблем, выявленных по результатам анализа прохождения предыдущих трех отопительных периодов, произошедших аварийных ситуаций при теплоснабжении в прошлые три отопительных периода:</w:t>
            </w:r>
          </w:p>
        </w:tc>
        <w:tc>
          <w:tcPr>
            <w:tcW w:w="198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Заведующий хозяйством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eastAsia="Calibri" w:cs="Times New Roman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Башева Т.Ф.</w:t>
            </w:r>
            <w:r>
              <w:rPr>
                <w:rFonts w:ascii="Times New Roman" w:hAnsi="Times New Roman" w:eastAsia="Calibri" w:cs="Times New Roman"/>
                <w:b w:val="0"/>
                <w:bCs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701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92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lang w:val="ru-RU" w:eastAsia="en-US" w:bidi="ar-SA"/>
              </w:rPr>
              <w:t xml:space="preserve">Проблем, выявленных по результатам анализа прохождения предыдущих трех отопительных периодов, произошедших аварийных ситуаций при теплоснабжении  в прошлые три отопительных периодов в ДОУ </w:t>
            </w:r>
            <w:r>
              <w:rPr>
                <w:rFonts w:ascii="Times New Roman" w:hAnsi="Times New Roman" w:eastAsia="Calibri"/>
                <w:b/>
                <w:bCs/>
                <w:sz w:val="24"/>
                <w:szCs w:val="24"/>
                <w:lang w:val="ru-RU" w:eastAsia="en-US" w:bidi="ar-SA"/>
              </w:rPr>
              <w:t xml:space="preserve">нет</w:t>
            </w:r>
          </w:p>
        </w:tc>
        <w:tc>
          <w:tcPr>
            <w:tcW w:w="1635" w:type="dxa"/>
            <w:tcBorders>
              <w:top w:val="none" w:color="000000" w:sz="4" w:space="0"/>
            </w:tcBorders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816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 w:bidi="ar-SA"/>
              </w:rPr>
              <w:t xml:space="preserve">6.1.</w:t>
            </w:r>
          </w:p>
        </w:tc>
        <w:tc>
          <w:tcPr>
            <w:tcW w:w="7620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ru-RU" w:eastAsia="en-US" w:bidi="ar-SA"/>
              </w:rPr>
              <w:t xml:space="preserve">* указываются мероприятия в зависимости от возникших проблем за предыдущие периоды</w:t>
            </w:r>
          </w:p>
        </w:tc>
        <w:tc>
          <w:tcPr>
            <w:tcW w:w="198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35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822"/>
        <w:spacing w:before="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</w:p>
    <w:p>
      <w:pPr>
        <w:pStyle w:val="822"/>
        <w:spacing w:before="0"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Справочно:</w:t>
      </w:r>
    </w:p>
    <w:p>
      <w:pPr>
        <w:pStyle w:val="885"/>
        <w:tabs>
          <w:tab w:val="left" w:pos="1073" w:leader="none"/>
          <w:tab w:val="clear" w:pos="4677" w:leader="none"/>
          <w:tab w:val="clear" w:pos="9355" w:leader="none"/>
        </w:tabs>
        <w:ind w:firstLine="851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 xml:space="preserve">Настоящий типовой план применим для УК, ТСЖ, ТСН, ЖК, ЖСК, л</w:t>
      </w:r>
      <w:r>
        <w:rPr>
          <w:rFonts w:ascii="Times New Roman" w:hAnsi="Times New Roman" w:cs="Times New Roman"/>
          <w:i/>
          <w:sz w:val="22"/>
          <w:szCs w:val="22"/>
        </w:rPr>
        <w:t xml:space="preserve">иц, с которыми в соответствии с частью 1 статьи 164 Жилищного кодекса Российской Федерации собственниками помещений в многоквартирном доме (далее – МКД) заключены договоры оказания услуг по содержанию и (или) выполнению работ по ремонту общего имущества в </w:t>
      </w:r>
      <w:r>
        <w:rPr>
          <w:rFonts w:ascii="Times New Roman" w:hAnsi="Times New Roman" w:cs="Times New Roman"/>
          <w:i/>
          <w:sz w:val="22"/>
          <w:szCs w:val="22"/>
        </w:rPr>
        <w:t xml:space="preserve">МКД или председателей совета дома, в случае, если собственниками помещений в МКД не принято решение о заключении таких договоров, или муниципальными образованиями в случае, если способ управления МКД не выбран или выбранным способ управления не реализован.</w:t>
      </w:r>
    </w:p>
    <w:p>
      <w:pPr>
        <w:pStyle w:val="885"/>
        <w:tabs>
          <w:tab w:val="left" w:pos="1073" w:leader="none"/>
          <w:tab w:val="clear" w:pos="4677" w:leader="none"/>
          <w:tab w:val="clear" w:pos="9355" w:leader="none"/>
        </w:tabs>
        <w:ind w:firstLine="851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 xml:space="preserve">В соответствии с пунктами 3.3 и 5 Правил № 2234 план подготовки к отопительному периоду ежегодно разрабатывается и утверждается организационно-распорядительным документом не позднее 30 апреля. План подготовк</w:t>
      </w:r>
      <w:r>
        <w:rPr>
          <w:rFonts w:ascii="Times New Roman" w:hAnsi="Times New Roman" w:cs="Times New Roman"/>
          <w:i/>
          <w:sz w:val="22"/>
          <w:szCs w:val="22"/>
        </w:rPr>
        <w:t xml:space="preserve">и к отопительному периоду согласовывается с единой теплоснабжающей организацией, при этом сроки согласования не должны превышать 15 рабочих дней со дня получения единой теплоснабжающей организацией плана подготовки к отопительному периоду на рассмотрение. 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План подготовки к отопительному периоду в течение 5 рабочих дней со дня его утверждения </w:t>
      </w:r>
      <w:r>
        <w:rPr>
          <w:rFonts w:ascii="Times New Roman" w:hAnsi="Times New Roman" w:cs="Times New Roman"/>
          <w:i/>
          <w:sz w:val="22"/>
          <w:szCs w:val="22"/>
        </w:rPr>
        <w:t xml:space="preserve">направляется ответственным лицом за подготовку многоквартирного дома (многоквартирных домов) к отопительному периоду в орган местного самоуправления.</w:t>
      </w:r>
    </w:p>
    <w:p>
      <w:pPr>
        <w:pStyle w:val="822"/>
        <w:spacing w:before="0" w:after="0" w:line="240" w:lineRule="auto"/>
        <w:ind w:firstLine="851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 xml:space="preserve">Допускается внесение корректировок в план подготовки к отопительному периоду в случае изменения условий эксплуатации или непредвиденных обстоятельств при условии синхронизации сроков выполнения работ и мероприятий, требующих отключ</w:t>
      </w:r>
      <w:r>
        <w:rPr>
          <w:rFonts w:ascii="Times New Roman" w:hAnsi="Times New Roman" w:cs="Times New Roman"/>
          <w:i/>
          <w:sz w:val="22"/>
          <w:szCs w:val="22"/>
        </w:rPr>
        <w:t xml:space="preserve">ения горячего водоснабжения, заполнения теплопотребляющих установок и тепловых сетей водой после выполнения ремонтных работ, согласования вносимых изменений с единой теплоснабжающей организацией и их последующего направления в орган местного самоуправления</w:t>
      </w:r>
    </w:p>
    <w:p>
      <w:pPr>
        <w:pStyle w:val="822"/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22"/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22"/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22"/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22"/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22"/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22"/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22"/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822"/>
        <w:numPr>
          <w:numId w:val="0"/>
          <w:ilvl w:val="0"/>
        </w:numPr>
        <w:spacing w:before="0" w:after="0" w:line="240" w:lineRule="auto"/>
        <w:ind w:left="9072" w:firstLine="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</w:t>
      </w:r>
    </w:p>
    <w:p>
      <w:pPr>
        <w:pStyle w:val="822"/>
        <w:spacing w:before="0" w:after="0"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к плану подготовки к отопительному периоду 2025-2026 гг.</w:t>
      </w:r>
    </w:p>
    <w:p>
      <w:pPr>
        <w:pStyle w:val="82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82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822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22"/>
        <w:spacing w:before="0"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МБДОУ «Детский сад № 143»,</w:t>
      </w:r>
    </w:p>
    <w:p>
      <w:pPr>
        <w:pStyle w:val="822"/>
        <w:spacing w:before="0"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расположенного по адресу: 603009, г. Нижний Новгород, ул.Батумская, д. 9В</w:t>
      </w:r>
    </w:p>
    <w:p>
      <w:pPr>
        <w:pStyle w:val="82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</w:r>
    </w:p>
    <w:p>
      <w:pPr>
        <w:pStyle w:val="82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участвующи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в подготовке к отопительному периоду 2025-2026 гг.   </w:t>
      </w:r>
    </w:p>
    <w:p>
      <w:pPr>
        <w:pStyle w:val="82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tbl>
      <w:tblPr>
        <w:tblW w:w="14786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84"/>
        <w:gridCol w:w="4532"/>
        <w:gridCol w:w="2811"/>
        <w:gridCol w:w="3967"/>
        <w:gridCol w:w="2792"/>
      </w:tblGrid>
      <w:tr>
        <w:trPr/>
        <w:tc>
          <w:tcPr>
            <w:tcW w:w="684" w:type="dxa"/>
            <w:vMerge w:val="restart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 w:eastAsia="en-US" w:bidi="ar-SA"/>
              </w:rPr>
              <w:t xml:space="preserve">п/п</w:t>
            </w:r>
          </w:p>
        </w:tc>
        <w:tc>
          <w:tcPr>
            <w:tcW w:w="4532" w:type="dxa"/>
            <w:vMerge w:val="restart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Адрес многоквартирного дома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(далее – МКД)</w:t>
            </w:r>
          </w:p>
        </w:tc>
        <w:tc>
          <w:tcPr>
            <w:tcW w:w="6778" w:type="dxa"/>
            <w:gridSpan w:val="2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Тип системы теплоснабжения</w:t>
            </w:r>
          </w:p>
        </w:tc>
        <w:tc>
          <w:tcPr>
            <w:tcW w:w="27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Наличие/отсутствие в МКД газоиспользующего оборудования</w:t>
            </w:r>
          </w:p>
        </w:tc>
      </w:tr>
      <w:tr>
        <w:trPr/>
        <w:tc>
          <w:tcPr>
            <w:tcW w:w="684" w:type="dxa"/>
            <w:vMerge w:val="continue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4532" w:type="dxa"/>
            <w:vMerge w:val="continue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281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МКД с центральным отоплением</w:t>
            </w:r>
          </w:p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(ТЭЦ, котельная №)</w:t>
            </w:r>
          </w:p>
        </w:tc>
        <w:tc>
          <w:tcPr>
            <w:tcW w:w="3967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МКД с индивидуальным отоплением (крышные, встроенные-пристроенные котельные, АГВ)</w:t>
            </w:r>
          </w:p>
        </w:tc>
        <w:tc>
          <w:tcPr>
            <w:tcW w:w="27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84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1</w:t>
            </w:r>
          </w:p>
        </w:tc>
        <w:tc>
          <w:tcPr>
            <w:tcW w:w="453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603009,г.Нижний Новгород, ул. Батумская, д.9В</w:t>
            </w:r>
          </w:p>
        </w:tc>
        <w:tc>
          <w:tcPr>
            <w:tcW w:w="2811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Theme="minorHAnsi" w:hAnsiTheme="minorHAnsi" w:eastAsiaTheme="minorHAnsi" w:cstheme="minorBidi"/>
                <w:highlight w:val="none"/>
                <w:shd w:val="clear" w:color="auto" w:fill="auto"/>
              </w:rPr>
            </w:pPr>
            <w:r>
              <w:rPr>
                <w:rFonts w:ascii="Times New Roman" w:hAnsi="Times New Roman" w:eastAsia="Calibri" w:cs="Times New Roman" w:eastAsiaTheme="minorHAnsi"/>
                <w:sz w:val="28"/>
                <w:szCs w:val="28"/>
                <w:shd w:val="clear" w:color="auto" w:fill="auto"/>
                <w:lang w:val="ru-RU" w:eastAsia="en-US" w:bidi="ar-SA"/>
              </w:rPr>
              <w:t xml:space="preserve">Котельная Батумская, д.7Б</w:t>
            </w:r>
          </w:p>
        </w:tc>
        <w:tc>
          <w:tcPr>
            <w:tcW w:w="3967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Нет</w:t>
            </w:r>
          </w:p>
        </w:tc>
        <w:tc>
          <w:tcPr>
            <w:tcW w:w="2792" w:type="dxa"/>
            <w:noWrap w:val="false"/>
            <w:textDirection w:val="lrTb"/>
          </w:tcPr>
          <w:p>
            <w:pPr>
              <w:pStyle w:val="822"/>
              <w:widowControl w:val="off"/>
              <w:spacing w:before="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нет</w:t>
            </w:r>
          </w:p>
        </w:tc>
      </w:tr>
    </w:tbl>
    <w:p>
      <w:pPr>
        <w:pStyle w:val="822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6838" w:h="11906" w:orient="landscape"/>
      <w:pgMar w:top="765" w:right="539" w:bottom="765" w:left="709" w:header="708" w:footer="708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Microsoft YaHei">
    <w:panose1 w:val="020B0503020204020204"/>
  </w:font>
  <w:font w:name="Liberation Sans">
    <w:panose1 w:val="020B0604020202020204"/>
  </w:font>
  <w:font w:name="Segoe UI">
    <w:panose1 w:val="020B0502040204020203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96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7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8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9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0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1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3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7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8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9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0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1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2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3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5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6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7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8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9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0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1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32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733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734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735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736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737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738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9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0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1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2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3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4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5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6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7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8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9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0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1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2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0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1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2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3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4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5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6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8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9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0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1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2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3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4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5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6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7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8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9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0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1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2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3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4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5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6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7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8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9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0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1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2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3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4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5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6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7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8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9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0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1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2" w:default="1">
    <w:name w:val="Normal"/>
    <w:qFormat/>
    <w:pPr>
      <w:widowControl/>
      <w:spacing w:before="0" w:after="200" w:line="276" w:lineRule="auto"/>
      <w:jc w:val="left"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823">
    <w:name w:val="Heading 1"/>
    <w:basedOn w:val="822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824">
    <w:name w:val="Heading 2"/>
    <w:basedOn w:val="822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825">
    <w:name w:val="Heading 3"/>
    <w:basedOn w:val="822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826">
    <w:name w:val="Heading 4"/>
    <w:basedOn w:val="822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27">
    <w:name w:val="Heading 5"/>
    <w:basedOn w:val="822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28">
    <w:name w:val="Heading 6"/>
    <w:basedOn w:val="822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29">
    <w:name w:val="Heading 7"/>
    <w:basedOn w:val="822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30">
    <w:name w:val="Heading 8"/>
    <w:basedOn w:val="822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831">
    <w:name w:val="Heading 9"/>
    <w:basedOn w:val="822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2">
    <w:name w:val="Heading 1 Char"/>
    <w:basedOn w:val="854"/>
    <w:uiPriority w:val="9"/>
    <w:qFormat/>
    <w:rPr>
      <w:rFonts w:ascii="Arial" w:hAnsi="Arial" w:eastAsia="Arial" w:cs="Arial"/>
      <w:sz w:val="40"/>
      <w:szCs w:val="40"/>
    </w:rPr>
  </w:style>
  <w:style w:type="character" w:styleId="833">
    <w:name w:val="Heading 2 Char"/>
    <w:basedOn w:val="854"/>
    <w:uiPriority w:val="9"/>
    <w:qFormat/>
    <w:rPr>
      <w:rFonts w:ascii="Arial" w:hAnsi="Arial" w:eastAsia="Arial" w:cs="Arial"/>
      <w:sz w:val="34"/>
    </w:rPr>
  </w:style>
  <w:style w:type="character" w:styleId="834">
    <w:name w:val="Heading 3 Char"/>
    <w:basedOn w:val="854"/>
    <w:uiPriority w:val="9"/>
    <w:qFormat/>
    <w:rPr>
      <w:rFonts w:ascii="Arial" w:hAnsi="Arial" w:eastAsia="Arial" w:cs="Arial"/>
      <w:sz w:val="30"/>
      <w:szCs w:val="30"/>
    </w:rPr>
  </w:style>
  <w:style w:type="character" w:styleId="835">
    <w:name w:val="Heading 4 Char"/>
    <w:basedOn w:val="854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836">
    <w:name w:val="Heading 5 Char"/>
    <w:basedOn w:val="854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837">
    <w:name w:val="Heading 6 Char"/>
    <w:basedOn w:val="854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838">
    <w:name w:val="Heading 7 Char"/>
    <w:basedOn w:val="85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39">
    <w:name w:val="Heading 8 Char"/>
    <w:basedOn w:val="854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840">
    <w:name w:val="Heading 9 Char"/>
    <w:basedOn w:val="854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841">
    <w:name w:val="Title Char"/>
    <w:basedOn w:val="854"/>
    <w:uiPriority w:val="10"/>
    <w:qFormat/>
    <w:rPr>
      <w:sz w:val="48"/>
      <w:szCs w:val="48"/>
    </w:rPr>
  </w:style>
  <w:style w:type="character" w:styleId="842">
    <w:name w:val="Subtitle Char"/>
    <w:basedOn w:val="854"/>
    <w:uiPriority w:val="11"/>
    <w:qFormat/>
    <w:rPr>
      <w:sz w:val="24"/>
      <w:szCs w:val="24"/>
    </w:rPr>
  </w:style>
  <w:style w:type="character" w:styleId="843">
    <w:name w:val="Quote Char"/>
    <w:uiPriority w:val="29"/>
    <w:qFormat/>
    <w:rPr>
      <w:i/>
    </w:rPr>
  </w:style>
  <w:style w:type="character" w:styleId="844">
    <w:name w:val="Intense Quote Char"/>
    <w:uiPriority w:val="30"/>
    <w:qFormat/>
    <w:rPr>
      <w:i/>
    </w:rPr>
  </w:style>
  <w:style w:type="character" w:styleId="845">
    <w:name w:val="Header Char"/>
    <w:basedOn w:val="854"/>
    <w:uiPriority w:val="99"/>
    <w:qFormat/>
  </w:style>
  <w:style w:type="character" w:styleId="846">
    <w:name w:val="Footer Char"/>
    <w:basedOn w:val="854"/>
    <w:uiPriority w:val="99"/>
    <w:qFormat/>
  </w:style>
  <w:style w:type="character" w:styleId="847">
    <w:name w:val="Caption Char"/>
    <w:uiPriority w:val="99"/>
    <w:qFormat/>
  </w:style>
  <w:style w:type="character" w:styleId="848">
    <w:name w:val="Footnote Text Char"/>
    <w:uiPriority w:val="99"/>
    <w:qFormat/>
    <w:rPr>
      <w:sz w:val="18"/>
    </w:rPr>
  </w:style>
  <w:style w:type="character" w:styleId="849">
    <w:name w:val="Символ сноски"/>
    <w:uiPriority w:val="99"/>
    <w:unhideWhenUsed/>
    <w:qFormat/>
    <w:rPr>
      <w:vertAlign w:val="superscript"/>
    </w:rPr>
  </w:style>
  <w:style w:type="character" w:styleId="850">
    <w:name w:val="footnote reference"/>
    <w:rPr>
      <w:vertAlign w:val="superscript"/>
    </w:rPr>
  </w:style>
  <w:style w:type="character" w:styleId="851">
    <w:name w:val="Endnote Text Char"/>
    <w:uiPriority w:val="99"/>
    <w:qFormat/>
    <w:rPr>
      <w:sz w:val="20"/>
    </w:rPr>
  </w:style>
  <w:style w:type="character" w:styleId="852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853">
    <w:name w:val="endnote reference"/>
    <w:rPr>
      <w:vertAlign w:val="superscript"/>
    </w:rPr>
  </w:style>
  <w:style w:type="character" w:styleId="854" w:default="1">
    <w:name w:val="Default Paragraph Font"/>
    <w:uiPriority w:val="1"/>
    <w:semiHidden/>
    <w:unhideWhenUsed/>
    <w:qFormat/>
  </w:style>
  <w:style w:type="character" w:styleId="855" w:customStyle="1">
    <w:name w:val="Верхний колонтитул Знак"/>
    <w:basedOn w:val="854"/>
    <w:uiPriority w:val="99"/>
    <w:qFormat/>
  </w:style>
  <w:style w:type="character" w:styleId="856" w:customStyle="1">
    <w:name w:val="Нижний колонтитул Знак"/>
    <w:basedOn w:val="854"/>
    <w:uiPriority w:val="99"/>
    <w:semiHidden/>
    <w:qFormat/>
  </w:style>
  <w:style w:type="character" w:styleId="857" w:customStyle="1">
    <w:name w:val="Текст выноски Знак"/>
    <w:basedOn w:val="854"/>
    <w:uiPriority w:val="99"/>
    <w:semiHidden/>
    <w:qFormat/>
    <w:rPr>
      <w:rFonts w:ascii="Segoe UI" w:hAnsi="Segoe UI" w:cs="Segoe UI"/>
      <w:sz w:val="18"/>
      <w:szCs w:val="18"/>
    </w:rPr>
  </w:style>
  <w:style w:type="character" w:styleId="858">
    <w:name w:val="Hyperlink"/>
    <w:rPr>
      <w:color w:val="000080"/>
      <w:u w:val="single"/>
    </w:rPr>
  </w:style>
  <w:style w:type="paragraph" w:styleId="859">
    <w:name w:val="Заголовок"/>
    <w:basedOn w:val="822"/>
    <w:next w:val="860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860">
    <w:name w:val="Body Text"/>
    <w:basedOn w:val="822"/>
    <w:pPr>
      <w:spacing w:before="0" w:after="140" w:line="276" w:lineRule="auto"/>
    </w:pPr>
  </w:style>
  <w:style w:type="paragraph" w:styleId="861">
    <w:name w:val="List"/>
    <w:basedOn w:val="860"/>
    <w:rPr>
      <w:rFonts w:cs="Arial"/>
    </w:rPr>
  </w:style>
  <w:style w:type="paragraph" w:styleId="862">
    <w:name w:val="Caption"/>
    <w:basedOn w:val="822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63">
    <w:name w:val="Указатель"/>
    <w:basedOn w:val="822"/>
    <w:qFormat/>
    <w:pPr>
      <w:suppressLineNumbers/>
    </w:pPr>
    <w:rPr>
      <w:rFonts w:cs="Arial"/>
    </w:rPr>
  </w:style>
  <w:style w:type="paragraph" w:styleId="864">
    <w:name w:val="List Paragraph"/>
    <w:basedOn w:val="822"/>
    <w:uiPriority w:val="34"/>
    <w:qFormat/>
    <w:pPr>
      <w:spacing w:before="0" w:after="0"/>
      <w:ind w:left="720" w:firstLine="0"/>
      <w:contextualSpacing/>
    </w:pPr>
  </w:style>
  <w:style w:type="paragraph" w:styleId="865">
    <w:name w:val="No Spacing"/>
    <w:uiPriority w:val="1"/>
    <w:qFormat/>
    <w:pPr>
      <w:widowControl/>
      <w:spacing w:before="0" w:after="0" w:line="240" w:lineRule="auto"/>
      <w:jc w:val="left"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866">
    <w:name w:val="Title"/>
    <w:basedOn w:val="822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867">
    <w:name w:val="Subtitle"/>
    <w:basedOn w:val="822"/>
    <w:uiPriority w:val="11"/>
    <w:qFormat/>
    <w:pPr>
      <w:spacing w:before="200" w:after="200"/>
    </w:pPr>
    <w:rPr>
      <w:sz w:val="24"/>
      <w:szCs w:val="24"/>
    </w:rPr>
  </w:style>
  <w:style w:type="paragraph" w:styleId="868">
    <w:name w:val="Quote"/>
    <w:basedOn w:val="822"/>
    <w:uiPriority w:val="29"/>
    <w:qFormat/>
    <w:pPr>
      <w:ind w:left="720" w:right="720" w:firstLine="0"/>
    </w:pPr>
    <w:rPr>
      <w:i/>
    </w:rPr>
  </w:style>
  <w:style w:type="paragraph" w:styleId="869">
    <w:name w:val="Intense Quote"/>
    <w:basedOn w:val="822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 w:before="0" w:after="0"/>
      <w:ind w:left="720" w:right="720" w:firstLine="0"/>
    </w:pPr>
    <w:rPr>
      <w:i/>
    </w:rPr>
  </w:style>
  <w:style w:type="paragraph" w:styleId="870">
    <w:name w:val="footnote text"/>
    <w:basedOn w:val="822"/>
    <w:uiPriority w:val="99"/>
    <w:semiHidden/>
    <w:unhideWhenUsed/>
    <w:pPr>
      <w:spacing w:before="0" w:after="40" w:line="240" w:lineRule="auto"/>
    </w:pPr>
    <w:rPr>
      <w:sz w:val="18"/>
    </w:rPr>
  </w:style>
  <w:style w:type="paragraph" w:styleId="871">
    <w:name w:val="endnote text"/>
    <w:basedOn w:val="822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872">
    <w:name w:val="toc 1"/>
    <w:basedOn w:val="822"/>
    <w:uiPriority w:val="39"/>
    <w:unhideWhenUsed/>
    <w:pPr>
      <w:spacing w:before="0" w:after="57"/>
      <w:ind w:left="0" w:right="0" w:firstLine="0"/>
    </w:pPr>
  </w:style>
  <w:style w:type="paragraph" w:styleId="873">
    <w:name w:val="toc 2"/>
    <w:basedOn w:val="822"/>
    <w:uiPriority w:val="39"/>
    <w:unhideWhenUsed/>
    <w:pPr>
      <w:spacing w:before="0" w:after="57"/>
      <w:ind w:left="283" w:right="0" w:firstLine="0"/>
    </w:pPr>
  </w:style>
  <w:style w:type="paragraph" w:styleId="874">
    <w:name w:val="toc 3"/>
    <w:basedOn w:val="822"/>
    <w:uiPriority w:val="39"/>
    <w:unhideWhenUsed/>
    <w:pPr>
      <w:spacing w:before="0" w:after="57"/>
      <w:ind w:left="567" w:right="0" w:firstLine="0"/>
    </w:pPr>
  </w:style>
  <w:style w:type="paragraph" w:styleId="875">
    <w:name w:val="toc 4"/>
    <w:basedOn w:val="822"/>
    <w:uiPriority w:val="39"/>
    <w:unhideWhenUsed/>
    <w:pPr>
      <w:spacing w:before="0" w:after="57"/>
      <w:ind w:left="850" w:right="0" w:firstLine="0"/>
    </w:pPr>
  </w:style>
  <w:style w:type="paragraph" w:styleId="876">
    <w:name w:val="toc 5"/>
    <w:basedOn w:val="822"/>
    <w:uiPriority w:val="39"/>
    <w:unhideWhenUsed/>
    <w:pPr>
      <w:spacing w:before="0" w:after="57"/>
      <w:ind w:left="1134" w:right="0" w:firstLine="0"/>
    </w:pPr>
  </w:style>
  <w:style w:type="paragraph" w:styleId="877">
    <w:name w:val="toc 6"/>
    <w:basedOn w:val="822"/>
    <w:uiPriority w:val="39"/>
    <w:unhideWhenUsed/>
    <w:pPr>
      <w:spacing w:before="0" w:after="57"/>
      <w:ind w:left="1417" w:right="0" w:firstLine="0"/>
    </w:pPr>
  </w:style>
  <w:style w:type="paragraph" w:styleId="878">
    <w:name w:val="toc 7"/>
    <w:basedOn w:val="822"/>
    <w:uiPriority w:val="39"/>
    <w:unhideWhenUsed/>
    <w:pPr>
      <w:spacing w:before="0" w:after="57"/>
      <w:ind w:left="1701" w:right="0" w:firstLine="0"/>
    </w:pPr>
  </w:style>
  <w:style w:type="paragraph" w:styleId="879">
    <w:name w:val="toc 8"/>
    <w:basedOn w:val="822"/>
    <w:uiPriority w:val="39"/>
    <w:unhideWhenUsed/>
    <w:pPr>
      <w:spacing w:before="0" w:after="57"/>
      <w:ind w:left="1984" w:right="0" w:firstLine="0"/>
    </w:pPr>
  </w:style>
  <w:style w:type="paragraph" w:styleId="880">
    <w:name w:val="toc 9"/>
    <w:basedOn w:val="822"/>
    <w:uiPriority w:val="39"/>
    <w:unhideWhenUsed/>
    <w:pPr>
      <w:spacing w:before="0" w:after="57"/>
      <w:ind w:left="2268" w:right="0" w:firstLine="0"/>
    </w:pPr>
  </w:style>
  <w:style w:type="paragraph" w:styleId="881">
    <w:name w:val="Index Heading"/>
    <w:basedOn w:val="859"/>
  </w:style>
  <w:style w:type="paragraph" w:styleId="882">
    <w:name w:val="TOC Heading"/>
    <w:uiPriority w:val="39"/>
    <w:unhideWhenUsed/>
    <w:pPr>
      <w:widowControl/>
      <w:spacing w:before="0" w:after="0"/>
      <w:jc w:val="left"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883">
    <w:name w:val="table of figures"/>
    <w:basedOn w:val="822"/>
    <w:uiPriority w:val="99"/>
    <w:unhideWhenUsed/>
    <w:qFormat/>
    <w:pPr>
      <w:spacing w:before="0" w:after="0" w:afterAutospacing="0"/>
    </w:pPr>
  </w:style>
  <w:style w:type="paragraph" w:styleId="884">
    <w:name w:val="Колонтитул"/>
    <w:basedOn w:val="822"/>
    <w:qFormat/>
  </w:style>
  <w:style w:type="paragraph" w:styleId="885">
    <w:name w:val="Header"/>
    <w:basedOn w:val="822"/>
    <w:uiPriority w:val="99"/>
    <w:unhideWhenUsed/>
    <w:pPr>
      <w:tabs>
        <w:tab w:val="clear" w:pos="708" w:leader="none"/>
        <w:tab w:val="center" w:pos="4677" w:leader="none"/>
        <w:tab w:val="right" w:pos="9355" w:leader="none"/>
      </w:tabs>
      <w:spacing w:before="0" w:after="0" w:line="240" w:lineRule="auto"/>
    </w:pPr>
  </w:style>
  <w:style w:type="paragraph" w:styleId="886">
    <w:name w:val="Footer"/>
    <w:basedOn w:val="822"/>
    <w:uiPriority w:val="99"/>
    <w:semiHidden/>
    <w:unhideWhenUsed/>
    <w:pPr>
      <w:tabs>
        <w:tab w:val="clear" w:pos="708" w:leader="none"/>
        <w:tab w:val="center" w:pos="4677" w:leader="none"/>
        <w:tab w:val="right" w:pos="9355" w:leader="none"/>
      </w:tabs>
      <w:spacing w:before="0" w:after="0" w:line="240" w:lineRule="auto"/>
    </w:pPr>
  </w:style>
  <w:style w:type="paragraph" w:styleId="887">
    <w:name w:val="Balloon Text"/>
    <w:basedOn w:val="822"/>
    <w:uiPriority w:val="99"/>
    <w:semiHidden/>
    <w:unhideWhenUsed/>
    <w:qFormat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888">
    <w:name w:val="Содержимое таблицы"/>
    <w:basedOn w:val="822"/>
    <w:qFormat/>
    <w:pPr>
      <w:widowControl w:val="off"/>
      <w:suppressLineNumbers/>
    </w:pPr>
  </w:style>
  <w:style w:type="paragraph" w:styleId="889">
    <w:name w:val="Заголовок таблицы"/>
    <w:basedOn w:val="888"/>
    <w:qFormat/>
    <w:pPr>
      <w:suppressLineNumbers/>
      <w:jc w:val="center"/>
    </w:pPr>
    <w:rPr>
      <w:b/>
      <w:bCs/>
    </w:rPr>
  </w:style>
  <w:style w:type="numbering" w:styleId="890" w:default="1">
    <w:name w:val="No List"/>
    <w:uiPriority w:val="99"/>
    <w:semiHidden/>
    <w:unhideWhenUsed/>
    <w:qFormat/>
  </w:style>
  <w:style w:type="table" w:styleId="89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customXml" Target="../customXml/item1.xml" /><Relationship Id="rId15" Type="http://schemas.openxmlformats.org/officeDocument/2006/relationships/image" Target="media/image1.png"/><Relationship Id="rId16" Type="http://schemas.openxmlformats.org/officeDocument/2006/relationships/hyperlink" Target="https://login.consultant.ru/link/?req=doc&amp;base=LAW&amp;n=41812&amp;dst=101548" TargetMode="External"/><Relationship Id="rId17" Type="http://schemas.openxmlformats.org/officeDocument/2006/relationships/hyperlink" Target="https://login.consultant.ru/link/?req=doc&amp;base=LAW&amp;n=373204&amp;dst=100981" TargetMode="External"/><Relationship Id="rId18" Type="http://schemas.openxmlformats.org/officeDocument/2006/relationships/hyperlink" Target="https://login.consultant.ru/link/?req=doc&amp;base=LAW&amp;n=41812&amp;dst=100387" TargetMode="External"/><Relationship Id="rId19" Type="http://schemas.openxmlformats.org/officeDocument/2006/relationships/hyperlink" Target="https://login.consultant.ru/link/?req=doc&amp;base=LAW&amp;n=401404&amp;dst=100197" TargetMode="External"/><Relationship Id="rId20" Type="http://schemas.openxmlformats.org/officeDocument/2006/relationships/hyperlink" Target="https://login.consultant.ru/link/?req=doc&amp;base=LAW&amp;n=470975&amp;dst=62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A2549-5586-4B9E-81D7-AF3A843EE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>Microsoft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dc:language>ru-RU</dc:language>
  <cp:revision>84</cp:revision>
  <dcterms:created xsi:type="dcterms:W3CDTF">2025-03-04T11:01:00Z</dcterms:created>
  <dcterms:modified xsi:type="dcterms:W3CDTF">2025-06-25T09:53:58Z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