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708" w:leader="none"/>
          <w:tab w:val="right" w:pos="9639" w:leader="dot"/>
        </w:tabs>
        <w:rPr>
          <w:rFonts w:ascii="Times New Roman" w:hAnsi="Times New Roman" w:eastAsia="Times New Roman" w:cs="Tahoma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ahoma"/>
          <w:sz w:val="24"/>
          <w:szCs w:val="24"/>
          <w:lang w:val="en-US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-705053</wp:posOffset>
                </wp:positionH>
                <wp:positionV relativeFrom="paragraph">
                  <wp:posOffset>0</wp:posOffset>
                </wp:positionV>
                <wp:extent cx="7185228" cy="898153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54960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7185227" cy="8981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55.5pt;mso-position-horizontal:absolute;mso-position-vertical-relative:text;margin-top:0.0pt;mso-position-vertical:absolute;width:565.8pt;height:707.2pt;mso-wrap-distance-left:9.1pt;mso-wrap-distance-top:0.0pt;mso-wrap-distance-right:9.1pt;mso-wrap-distance-bottom:0.0pt;" wrapcoords="0 0 100000 0 100000 100000 0 100000" stroked="false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ahoma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ahoma"/>
          <w:sz w:val="24"/>
          <w:szCs w:val="24"/>
          <w:lang w:val="en-US" w:eastAsia="ru-RU"/>
        </w:rPr>
      </w:r>
      <w:r/>
      <w:r>
        <w:rPr>
          <w:rFonts w:ascii="Times New Roman" w:hAnsi="Times New Roman" w:eastAsia="Times New Roman" w:cs="Times New Roman"/>
          <w:b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16"/>
          <w:szCs w:val="16"/>
          <w:highlight w:val="none"/>
          <w:lang w:eastAsia="ru-RU"/>
        </w:rPr>
      </w:r>
      <w:r/>
      <w:r>
        <w:rPr>
          <w:rFonts w:ascii="Times New Roman" w:hAnsi="Times New Roman" w:eastAsia="Times New Roman" w:cs="Tahoma"/>
          <w:sz w:val="24"/>
          <w:szCs w:val="24"/>
          <w:lang w:val="en-US" w:eastAsia="ru-RU"/>
        </w:rPr>
      </w:r>
    </w:p>
    <w:p>
      <w:pPr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bCs/>
          <w:sz w:val="16"/>
          <w:szCs w:val="16"/>
          <w:highlight w:val="none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16"/>
          <w:szCs w:val="16"/>
          <w:highlight w:val="none"/>
          <w:lang w:eastAsia="ru-RU"/>
        </w:rPr>
      </w:r>
      <w:r/>
    </w:p>
    <w:p>
      <w:pPr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bCs/>
          <w:sz w:val="16"/>
          <w:szCs w:val="16"/>
          <w:highlight w:val="none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16"/>
          <w:szCs w:val="16"/>
          <w:highlight w:val="none"/>
          <w:lang w:eastAsia="ru-RU"/>
        </w:rPr>
      </w:r>
      <w:r/>
    </w:p>
    <w:p>
      <w:pPr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bCs/>
          <w:sz w:val="16"/>
          <w:szCs w:val="16"/>
          <w:highlight w:val="none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90550"/>
                <wp:effectExtent l="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672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8pt;height:46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ДЕПАРТАМЕНТ ОБРАЗОВАНИЯ</w:t>
      </w:r>
      <w:r/>
    </w:p>
    <w:p>
      <w:pPr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АДМИНИСТРАЦИЯ  ГОРОДА  НИЖНЕГО  НОВГОРОДА</w:t>
      </w:r>
      <w:r/>
    </w:p>
    <w:p>
      <w:pPr>
        <w:jc w:val="center"/>
        <w:spacing w:after="12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МУНИЦИПАЛЬНОЕ  БЮДЖЕТНОЕ  ДОШКОЛЬНОЕ ОБРАЗОВАТЕЛЬНОЕ УЧРЕЖДЕНИЕ</w:t>
      </w:r>
      <w:r/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"ДЕТСКИЙ САД    № 143"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603009, г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. Нижний Новгород, улица Батумская, дом 9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 В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тел. (831) 65-41-21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/>
      <w:hyperlink r:id="rId12" w:tooltip="mailto:ds143_nn@mail.52gov.ru" w:history="1"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val="en-US" w:eastAsia="ru-RU"/>
          </w:rPr>
          <w:t xml:space="preserve">ds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eastAsia="ru-RU"/>
          </w:rPr>
          <w:t xml:space="preserve">143_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val="en-US" w:eastAsia="ru-RU"/>
          </w:rPr>
          <w:t xml:space="preserve">nn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eastAsia="ru-RU"/>
          </w:rPr>
          <w:t xml:space="preserve">@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val="en-US" w:eastAsia="ru-RU"/>
          </w:rPr>
          <w:t xml:space="preserve">mail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eastAsia="ru-RU"/>
          </w:rPr>
          <w:t xml:space="preserve">.52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val="en-US" w:eastAsia="ru-RU"/>
          </w:rPr>
          <w:t xml:space="preserve">gov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b/>
            <w:bCs/>
            <w:color w:val="0563c1" w:themeColor="hyperlink"/>
            <w:sz w:val="16"/>
            <w:szCs w:val="16"/>
            <w:u w:val="single"/>
            <w:lang w:val="en-US" w:eastAsia="ru-RU"/>
          </w:rPr>
          <w:t xml:space="preserve">ru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spacing w:after="0" w:line="240" w:lineRule="auto"/>
        <w:tabs>
          <w:tab w:val="left" w:pos="-426" w:leader="none"/>
          <w:tab w:val="right" w:pos="9639" w:leader="dot"/>
        </w:tabs>
        <w:rPr>
          <w:rFonts w:ascii="Times New Roman" w:hAnsi="Times New Roman" w:eastAsia="Times New Roman" w:cs="Tahoma"/>
          <w:sz w:val="24"/>
          <w:szCs w:val="24"/>
          <w:lang w:eastAsia="ru-RU"/>
        </w:rPr>
      </w:pPr>
      <w:r>
        <w:rPr>
          <w:rFonts w:ascii="Times New Roman" w:hAnsi="Times New Roman" w:eastAsia="Times New Roman" w:cs="Tahoma"/>
          <w:sz w:val="24"/>
          <w:szCs w:val="24"/>
          <w:lang w:eastAsia="ru-RU"/>
        </w:rPr>
      </w:r>
      <w:r/>
    </w:p>
    <w:p>
      <w:pPr>
        <w:spacing w:after="0" w:line="240" w:lineRule="auto"/>
        <w:tabs>
          <w:tab w:val="left" w:pos="708" w:leader="none"/>
          <w:tab w:val="right" w:pos="9639" w:leader="dot"/>
        </w:tabs>
        <w:rPr>
          <w:rFonts w:ascii="Times New Roman" w:hAnsi="Times New Roman" w:eastAsia="Times New Roman" w:cs="Tahoma"/>
          <w:sz w:val="24"/>
          <w:szCs w:val="24"/>
          <w:lang w:eastAsia="ru-RU"/>
        </w:rPr>
      </w:pPr>
      <w:r>
        <w:rPr>
          <w:rFonts w:ascii="Times New Roman" w:hAnsi="Times New Roman" w:eastAsia="Times New Roman" w:cs="Tahoma"/>
          <w:sz w:val="24"/>
          <w:szCs w:val="24"/>
          <w:lang w:eastAsia="ru-RU"/>
        </w:rPr>
      </w:r>
      <w:r/>
    </w:p>
    <w:p>
      <w:pPr>
        <w:spacing w:after="0" w:line="240" w:lineRule="auto"/>
        <w:tabs>
          <w:tab w:val="right" w:pos="9639" w:leader="dot"/>
        </w:tabs>
        <w:rPr>
          <w:rFonts w:ascii="Times New Roman" w:hAnsi="Times New Roman" w:eastAsia="Times New Roman" w:cs="Tahoma"/>
          <w:sz w:val="24"/>
          <w:szCs w:val="24"/>
          <w:lang w:eastAsia="ru-RU"/>
        </w:rPr>
      </w:pPr>
      <w:r>
        <w:rPr>
          <w:rFonts w:ascii="Times New Roman" w:hAnsi="Times New Roman" w:eastAsia="Times New Roman" w:cs="Tahoma"/>
          <w:sz w:val="24"/>
          <w:szCs w:val="24"/>
          <w:lang w:eastAsia="ru-RU"/>
        </w:rPr>
      </w:r>
      <w:r/>
    </w:p>
    <w:tbl>
      <w:tblPr>
        <w:tblStyle w:val="847"/>
        <w:tblW w:w="14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line="240" w:lineRule="auto"/>
              <w:tabs>
                <w:tab w:val="left" w:pos="0" w:leader="none"/>
                <w:tab w:val="left" w:pos="708" w:leader="none"/>
                <w:tab w:val="right" w:pos="9639" w:leader="dot"/>
              </w:tabs>
              <w:rPr>
                <w:rFonts w:ascii="Times New Roman" w:hAnsi="Times New Roman" w:eastAsia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ahoma"/>
                <w:sz w:val="24"/>
                <w:szCs w:val="24"/>
                <w:lang w:eastAsia="ru-RU"/>
              </w:rPr>
              <w:t xml:space="preserve">ПРИНЯТО:</w:t>
            </w:r>
            <w:r/>
          </w:p>
          <w:p>
            <w:pPr>
              <w:spacing w:line="240" w:lineRule="auto"/>
              <w:tabs>
                <w:tab w:val="left" w:pos="0" w:leader="none"/>
                <w:tab w:val="left" w:pos="708" w:leader="none"/>
                <w:tab w:val="right" w:pos="9639" w:leader="dot"/>
              </w:tabs>
              <w:rPr>
                <w:rFonts w:ascii="Times New Roman" w:hAnsi="Times New Roman" w:eastAsia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ahoma"/>
                <w:sz w:val="24"/>
                <w:szCs w:val="24"/>
                <w:lang w:eastAsia="ru-RU"/>
              </w:rPr>
              <w:t xml:space="preserve">общим собранием работников</w:t>
            </w:r>
            <w:r/>
          </w:p>
          <w:p>
            <w:pPr>
              <w:spacing w:line="240" w:lineRule="auto"/>
              <w:tabs>
                <w:tab w:val="left" w:pos="0" w:leader="none"/>
                <w:tab w:val="left" w:pos="708" w:leader="none"/>
                <w:tab w:val="right" w:pos="9639" w:leader="dot"/>
              </w:tabs>
              <w:rPr>
                <w:rFonts w:ascii="Times New Roman" w:hAnsi="Times New Roman" w:eastAsia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ahoma"/>
                <w:sz w:val="24"/>
                <w:szCs w:val="24"/>
                <w:lang w:eastAsia="ru-RU"/>
              </w:rPr>
              <w:t xml:space="preserve">Протокол № 3 от 31.08.2023 г.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УТВЕРЖДАЮ:</w:t>
            </w:r>
            <w:r/>
          </w:p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МБДОУ «Детский сад 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/>
          </w:p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Т.И. Демченко</w:t>
            </w:r>
            <w:r/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159-О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31.08.2023г.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</w:tr>
    </w:tbl>
    <w:p>
      <w:pPr>
        <w:spacing w:after="0" w:line="240" w:lineRule="auto"/>
        <w:tabs>
          <w:tab w:val="left" w:pos="0" w:leader="none"/>
          <w:tab w:val="left" w:pos="708" w:leader="none"/>
          <w:tab w:val="right" w:pos="9639" w:leader="dot"/>
        </w:tabs>
        <w:rPr>
          <w:rFonts w:ascii="Times New Roman" w:hAnsi="Times New Roman" w:eastAsia="Times New Roman" w:cs="Tahoma"/>
          <w:sz w:val="24"/>
          <w:szCs w:val="24"/>
          <w:lang w:eastAsia="ru-RU"/>
        </w:rPr>
      </w:pPr>
      <w:r>
        <w:rPr>
          <w:rFonts w:ascii="Times New Roman" w:hAnsi="Times New Roman" w:eastAsia="Times New Roman" w:cs="Tahoma"/>
          <w:sz w:val="24"/>
          <w:szCs w:val="24"/>
          <w:lang w:eastAsia="ru-RU"/>
        </w:rPr>
      </w:r>
      <w:r/>
    </w:p>
    <w:p>
      <w:pPr>
        <w:spacing w:after="0" w:line="240" w:lineRule="auto"/>
        <w:tabs>
          <w:tab w:val="left" w:pos="0" w:leader="none"/>
          <w:tab w:val="left" w:pos="708" w:leader="none"/>
          <w:tab w:val="right" w:pos="9639" w:leader="dot"/>
        </w:tabs>
        <w:rPr>
          <w:rFonts w:ascii="Times New Roman" w:hAnsi="Times New Roman" w:eastAsia="Times New Roman" w:cs="Tahoma"/>
          <w:sz w:val="24"/>
          <w:szCs w:val="24"/>
          <w:lang w:eastAsia="ru-RU"/>
        </w:rPr>
      </w:pPr>
      <w:r>
        <w:rPr>
          <w:rFonts w:ascii="Times New Roman" w:hAnsi="Times New Roman" w:eastAsia="Times New Roman" w:cs="Tahoma"/>
          <w:sz w:val="24"/>
          <w:szCs w:val="24"/>
          <w:lang w:eastAsia="ru-RU"/>
        </w:rPr>
      </w:r>
      <w:r/>
    </w:p>
    <w:tbl>
      <w:tblPr>
        <w:tblW w:w="5104" w:type="dxa"/>
        <w:tblInd w:w="-34" w:type="dxa"/>
        <w:tblLook w:val="01E0" w:firstRow="1" w:lastRow="1" w:firstColumn="1" w:lastColumn="1" w:noHBand="0" w:noVBand="0"/>
      </w:tblPr>
      <w:tblGrid>
        <w:gridCol w:w="4537"/>
        <w:gridCol w:w="567"/>
      </w:tblGrid>
      <w:tr>
        <w:trPr>
          <w:trHeight w:val="1635"/>
        </w:trPr>
        <w:tc>
          <w:tcPr>
            <w:tcW w:w="4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  <w:t xml:space="preserve">ПОЛОЖЕНИЕ 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  <w:t xml:space="preserve">о </w:t>
      </w:r>
      <w:r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  <w:t xml:space="preserve">Конфликтной комиссии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  <w:t xml:space="preserve">МБДОУ «Детский сад № </w:t>
      </w:r>
      <w:r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  <w:t xml:space="preserve">143</w:t>
      </w:r>
      <w:r>
        <w:rPr>
          <w:rFonts w:ascii="Times New Roman" w:hAnsi="Times New Roman" w:eastAsia="Calibri" w:cs="Times New Roman"/>
          <w:b/>
          <w:bCs/>
          <w:sz w:val="36"/>
          <w:szCs w:val="36"/>
          <w:lang w:eastAsia="ru-RU"/>
        </w:rPr>
        <w:t xml:space="preserve">»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(Приложение к Антикоррупционной политике № 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)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г. Нижний Новгород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г.</w:t>
      </w:r>
      <w:r/>
    </w:p>
    <w:p>
      <w:pPr>
        <w:jc w:val="left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jc w:val="left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Общие положения</w:t>
      </w:r>
      <w:r/>
    </w:p>
    <w:p>
      <w:pPr>
        <w:ind w:right="-1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Положение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Конфликтной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МБДОУ «Детский сад № 143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разработан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Федеральным Законом «Об образовании в Российской Федерации» от 29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2012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Нижегородской области от 7 марта 2008 г.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20-З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противодействии коррупции в Нижегородской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МБДОУ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Антикоррупционной политикой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«Детский сад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 учётом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разработке и принятию организациями мер по предупреждению и противодействию коррупции (утв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ержденные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Министерством труда и социальной защиты РФ 8 ноября 2013 г.)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Положение – это внутренний документ учрежден</w:t>
      </w:r>
      <w:r>
        <w:rPr>
          <w:rFonts w:ascii="Times New Roman" w:hAnsi="Times New Roman" w:cs="Times New Roman"/>
          <w:sz w:val="24"/>
          <w:szCs w:val="24"/>
        </w:rPr>
        <w:t xml:space="preserve">ия, устанавливающий порядок </w:t>
      </w:r>
      <w:r>
        <w:rPr>
          <w:rFonts w:ascii="Times New Roman" w:hAnsi="Times New Roman" w:cs="Times New Roman"/>
          <w:sz w:val="24"/>
          <w:szCs w:val="24"/>
        </w:rPr>
        <w:t xml:space="preserve">работы Конфликтной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МБДОУ «Детский сад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143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- ДОО)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Конфликтная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>
        <w:rPr>
          <w:rFonts w:ascii="Times New Roman" w:hAnsi="Times New Roman" w:cs="Times New Roman"/>
          <w:sz w:val="24"/>
          <w:szCs w:val="24"/>
        </w:rPr>
        <w:t xml:space="preserve">действует постоянно и проводи</w:t>
      </w:r>
      <w:r>
        <w:rPr>
          <w:rFonts w:ascii="Times New Roman" w:hAnsi="Times New Roman" w:cs="Times New Roman"/>
          <w:sz w:val="24"/>
          <w:szCs w:val="24"/>
        </w:rPr>
        <w:t xml:space="preserve">т заседания на основании подачи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уведомления работника о возникшем конфликте интересов или о возможности его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Состав Комиссии утверждается распорядительным актом заведующего ДОО сроком на 1 год.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состав Комиссии входит председатель, заместитель председателя, секретарь, члены.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Решение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простым большинством голосов.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раскрытия конфликта интересов работником ДОО и порядок его урегулирования, в том числе возможные способы разрешения возникшего конфликта интересов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 В </w:t>
      </w:r>
      <w:r>
        <w:rPr>
          <w:rFonts w:ascii="Times New Roman" w:hAnsi="Times New Roman" w:cs="Times New Roman"/>
          <w:sz w:val="24"/>
          <w:szCs w:val="24"/>
        </w:rPr>
        <w:t xml:space="preserve">ДОО</w:t>
      </w:r>
      <w:r>
        <w:rPr>
          <w:rFonts w:ascii="Times New Roman" w:hAnsi="Times New Roman" w:cs="Times New Roman"/>
          <w:sz w:val="24"/>
          <w:szCs w:val="24"/>
        </w:rPr>
        <w:t xml:space="preserve"> возможно установление различных видов раскрытия конфликта интересов, в том числе: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раскрытие сведений о конфликте интересов при при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ме на работу;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 раскрытие сведений о конфликте интересов при назначении на новую должность;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</w:t>
      </w:r>
      <w:r>
        <w:rPr>
          <w:rFonts w:ascii="Times New Roman" w:hAnsi="Times New Roman" w:cs="Times New Roman"/>
          <w:sz w:val="24"/>
          <w:szCs w:val="24"/>
        </w:rPr>
        <w:t xml:space="preserve"> разовое раскрытие сведений по мере возникновения ситуаций конфликта интересов.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.2 Раскрытие сведений о конфликте интересов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</w:t>
      </w:r>
      <w:r>
        <w:rPr>
          <w:rFonts w:ascii="Times New Roman" w:hAnsi="Times New Roman" w:cs="Times New Roman"/>
          <w:sz w:val="24"/>
          <w:szCs w:val="24"/>
        </w:rPr>
        <w:t xml:space="preserve"> в письмен</w:t>
      </w:r>
      <w:r>
        <w:rPr>
          <w:rFonts w:ascii="Times New Roman" w:hAnsi="Times New Roman" w:cs="Times New Roman"/>
          <w:sz w:val="24"/>
          <w:szCs w:val="24"/>
        </w:rPr>
        <w:t xml:space="preserve">ном виде.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 xml:space="preserve">Комиссия</w:t>
      </w:r>
      <w:r>
        <w:rPr>
          <w:rFonts w:ascii="Times New Roman" w:hAnsi="Times New Roman" w:cs="Times New Roman"/>
          <w:sz w:val="24"/>
          <w:szCs w:val="24"/>
        </w:rPr>
        <w:t xml:space="preserve"> берёт на себя обяза</w:t>
      </w:r>
      <w:r>
        <w:rPr>
          <w:rFonts w:ascii="Times New Roman" w:hAnsi="Times New Roman" w:cs="Times New Roman"/>
          <w:sz w:val="24"/>
          <w:szCs w:val="24"/>
        </w:rPr>
        <w:t xml:space="preserve">тельство конфиденциального рас</w:t>
      </w:r>
      <w:r>
        <w:rPr>
          <w:rFonts w:ascii="Times New Roman" w:hAnsi="Times New Roman" w:cs="Times New Roman"/>
          <w:sz w:val="24"/>
          <w:szCs w:val="24"/>
        </w:rPr>
        <w:t xml:space="preserve">смотрения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енных сведений и урегулирования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конфликта интересов.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.4. Поступившая информация должна быть тщательно проверена </w:t>
      </w:r>
      <w:r>
        <w:rPr>
          <w:rFonts w:ascii="Times New Roman" w:hAnsi="Times New Roman" w:cs="Times New Roman"/>
          <w:sz w:val="24"/>
          <w:szCs w:val="24"/>
        </w:rPr>
        <w:t xml:space="preserve">членами Комиссии с целью оценки </w:t>
      </w:r>
      <w:r>
        <w:rPr>
          <w:rFonts w:ascii="Times New Roman" w:hAnsi="Times New Roman" w:cs="Times New Roman"/>
          <w:sz w:val="24"/>
          <w:szCs w:val="24"/>
        </w:rPr>
        <w:t xml:space="preserve">серьезности возникающих для </w:t>
      </w:r>
      <w:r>
        <w:rPr>
          <w:rFonts w:ascii="Times New Roman" w:hAnsi="Times New Roman" w:cs="Times New Roman"/>
          <w:sz w:val="24"/>
          <w:szCs w:val="24"/>
        </w:rPr>
        <w:t xml:space="preserve">ДОО</w:t>
      </w:r>
      <w:r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Конфликтная комиссия может прийти к выводу, ч</w:t>
      </w:r>
      <w:r>
        <w:rPr>
          <w:rFonts w:ascii="Times New Roman" w:hAnsi="Times New Roman" w:cs="Times New Roman"/>
          <w:sz w:val="24"/>
          <w:szCs w:val="24"/>
        </w:rPr>
        <w:t xml:space="preserve">то ситуация, сведения о которой </w:t>
      </w:r>
      <w:r>
        <w:rPr>
          <w:rFonts w:ascii="Times New Roman" w:hAnsi="Times New Roman" w:cs="Times New Roman"/>
          <w:sz w:val="24"/>
          <w:szCs w:val="24"/>
        </w:rPr>
        <w:t xml:space="preserve">были представлены работником, не является конфликтом интересов и, как следствие, не н</w:t>
      </w:r>
      <w:r>
        <w:rPr>
          <w:rFonts w:ascii="Times New Roman" w:hAnsi="Times New Roman" w:cs="Times New Roman"/>
          <w:sz w:val="24"/>
          <w:szCs w:val="24"/>
        </w:rPr>
        <w:t xml:space="preserve">уждается в специальных способах </w:t>
      </w:r>
      <w:r>
        <w:rPr>
          <w:rFonts w:ascii="Times New Roman" w:hAnsi="Times New Roman" w:cs="Times New Roman"/>
          <w:sz w:val="24"/>
          <w:szCs w:val="24"/>
        </w:rPr>
        <w:t xml:space="preserve">урегулирования.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Конфликтная комиссия также может прийти к выводу, что конфликт интересов имеет </w:t>
      </w:r>
      <w:r>
        <w:rPr>
          <w:rFonts w:ascii="Times New Roman" w:hAnsi="Times New Roman" w:cs="Times New Roman"/>
          <w:sz w:val="24"/>
          <w:szCs w:val="24"/>
        </w:rPr>
        <w:t xml:space="preserve">место, и использовать различные </w:t>
      </w:r>
      <w:r>
        <w:rPr>
          <w:rFonts w:ascii="Times New Roman" w:hAnsi="Times New Roman" w:cs="Times New Roman"/>
          <w:sz w:val="24"/>
          <w:szCs w:val="24"/>
        </w:rPr>
        <w:t xml:space="preserve">способы его разрешения, в том числе: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доступа работника к конкретной информации, которая может затрагивать личные интересы работника;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 добровольный отказ работника </w:t>
      </w:r>
      <w:r>
        <w:rPr>
          <w:rFonts w:ascii="Times New Roman" w:hAnsi="Times New Roman" w:cs="Times New Roman"/>
          <w:sz w:val="24"/>
          <w:szCs w:val="24"/>
        </w:rPr>
        <w:t xml:space="preserve">ДОО</w:t>
      </w:r>
      <w:r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</w:t>
      </w:r>
      <w:r>
        <w:rPr>
          <w:rFonts w:ascii="Times New Roman" w:hAnsi="Times New Roman" w:cs="Times New Roman"/>
          <w:sz w:val="24"/>
          <w:szCs w:val="24"/>
        </w:rPr>
        <w:t xml:space="preserve">нное) от участия в обсуждении и </w:t>
      </w:r>
      <w:r>
        <w:rPr>
          <w:rFonts w:ascii="Times New Roman" w:hAnsi="Times New Roman" w:cs="Times New Roman"/>
          <w:sz w:val="24"/>
          <w:szCs w:val="24"/>
        </w:rPr>
        <w:t xml:space="preserve">процессе принятия решений по вопросам, которые находятся или могут оказаться под влиянием конфликта интересов;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</w:t>
      </w:r>
      <w:r>
        <w:rPr>
          <w:rFonts w:ascii="Times New Roman" w:hAnsi="Times New Roman" w:cs="Times New Roman"/>
          <w:sz w:val="24"/>
          <w:szCs w:val="24"/>
        </w:rPr>
        <w:t xml:space="preserve"> пересмотр и изменение функциональных обязанностей работника;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</w:t>
      </w:r>
      <w:r>
        <w:rPr>
          <w:rFonts w:ascii="Times New Roman" w:hAnsi="Times New Roman" w:cs="Times New Roman"/>
          <w:sz w:val="24"/>
          <w:szCs w:val="24"/>
        </w:rPr>
        <w:t xml:space="preserve"> временное отстранение работника от должности, если его личные интересы входят в противоречие с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обязанностями;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</w:t>
      </w:r>
      <w:r>
        <w:rPr>
          <w:rFonts w:ascii="Times New Roman" w:hAnsi="Times New Roman" w:cs="Times New Roman"/>
          <w:sz w:val="24"/>
          <w:szCs w:val="24"/>
        </w:rPr>
        <w:t xml:space="preserve"> перевод работника на должность, предусматривающую выполнение функциональн</w:t>
      </w:r>
      <w:r>
        <w:rPr>
          <w:rFonts w:ascii="Times New Roman" w:hAnsi="Times New Roman" w:cs="Times New Roman"/>
          <w:sz w:val="24"/>
          <w:szCs w:val="24"/>
        </w:rPr>
        <w:t xml:space="preserve">ых обязанностей, не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конфликтом интересов;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</w:t>
      </w:r>
      <w:r>
        <w:rPr>
          <w:rFonts w:ascii="Times New Roman" w:hAnsi="Times New Roman" w:cs="Times New Roman"/>
          <w:sz w:val="24"/>
          <w:szCs w:val="24"/>
        </w:rPr>
        <w:t xml:space="preserve"> отказ работника 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4"/>
          <w:szCs w:val="24"/>
        </w:rPr>
        <w:t xml:space="preserve">ДОО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</w:t>
      </w:r>
      <w:r>
        <w:rPr>
          <w:rFonts w:ascii="Times New Roman" w:hAnsi="Times New Roman" w:cs="Times New Roman"/>
          <w:sz w:val="24"/>
          <w:szCs w:val="24"/>
        </w:rPr>
        <w:t xml:space="preserve"> увольнение работника из </w:t>
      </w:r>
      <w:r>
        <w:rPr>
          <w:rFonts w:ascii="Times New Roman" w:hAnsi="Times New Roman" w:cs="Times New Roman"/>
          <w:sz w:val="24"/>
          <w:szCs w:val="24"/>
        </w:rPr>
        <w:t xml:space="preserve">ДОО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работника;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</w:t>
      </w:r>
      <w:r>
        <w:rPr>
          <w:rFonts w:ascii="Times New Roman" w:hAnsi="Times New Roman" w:cs="Times New Roman"/>
          <w:sz w:val="24"/>
          <w:szCs w:val="24"/>
        </w:rPr>
        <w:t xml:space="preserve"> увольнение работника по инициативе работодателя </w:t>
      </w:r>
      <w:r>
        <w:rPr>
          <w:rFonts w:ascii="Times New Roman" w:hAnsi="Times New Roman" w:cs="Times New Roman"/>
          <w:sz w:val="24"/>
          <w:szCs w:val="24"/>
        </w:rPr>
        <w:t xml:space="preserve">в связи с утратой доверия по пункту 7.1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81 Трудового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Приведенный перечень способов разрешения конфликта интересов не является исч</w:t>
      </w:r>
      <w:r>
        <w:rPr>
          <w:rFonts w:ascii="Times New Roman" w:hAnsi="Times New Roman" w:cs="Times New Roman"/>
          <w:sz w:val="24"/>
          <w:szCs w:val="24"/>
        </w:rPr>
        <w:t xml:space="preserve">ерпывающим. В каждом конкретном </w:t>
      </w:r>
      <w:r>
        <w:rPr>
          <w:rFonts w:ascii="Times New Roman" w:hAnsi="Times New Roman" w:cs="Times New Roman"/>
          <w:sz w:val="24"/>
          <w:szCs w:val="24"/>
        </w:rPr>
        <w:t xml:space="preserve">случае </w:t>
      </w:r>
      <w:r>
        <w:rPr>
          <w:rFonts w:ascii="Times New Roman" w:hAnsi="Times New Roman" w:cs="Times New Roman"/>
          <w:sz w:val="24"/>
          <w:szCs w:val="24"/>
        </w:rPr>
        <w:t xml:space="preserve">могут быть найдены иные </w:t>
      </w:r>
      <w:r>
        <w:rPr>
          <w:rFonts w:ascii="Times New Roman" w:hAnsi="Times New Roman" w:cs="Times New Roman"/>
          <w:sz w:val="24"/>
          <w:szCs w:val="24"/>
        </w:rPr>
        <w:t xml:space="preserve">формы его урегулирования.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При принятии решения о выборе конкретного метода разрешения конфликта интересов важ</w:t>
      </w:r>
      <w:r>
        <w:rPr>
          <w:rFonts w:ascii="Times New Roman" w:hAnsi="Times New Roman" w:cs="Times New Roman"/>
          <w:sz w:val="24"/>
          <w:szCs w:val="24"/>
        </w:rPr>
        <w:t xml:space="preserve">но учитывать значимость личного </w:t>
      </w:r>
      <w:r>
        <w:rPr>
          <w:rFonts w:ascii="Times New Roman" w:hAnsi="Times New Roman" w:cs="Times New Roman"/>
          <w:sz w:val="24"/>
          <w:szCs w:val="24"/>
        </w:rPr>
        <w:t xml:space="preserve">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4"/>
          <w:szCs w:val="24"/>
        </w:rPr>
        <w:t xml:space="preserve">ДОО.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Положение</w:t>
      </w:r>
      <w:r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тся нормативным локальным актом </w:t>
      </w:r>
      <w:r>
        <w:rPr>
          <w:rFonts w:ascii="Times New Roman" w:hAnsi="Times New Roman"/>
          <w:sz w:val="24"/>
          <w:szCs w:val="24"/>
        </w:rPr>
        <w:t xml:space="preserve">ДОО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обязател</w:t>
      </w:r>
      <w:r>
        <w:rPr>
          <w:rFonts w:ascii="Times New Roman" w:hAnsi="Times New Roman"/>
          <w:sz w:val="24"/>
          <w:szCs w:val="24"/>
        </w:rPr>
        <w:t xml:space="preserve">ьн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исполнению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всеми работниками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.2. Настоящ</w:t>
      </w:r>
      <w:r>
        <w:rPr>
          <w:rFonts w:ascii="Times New Roman" w:hAnsi="Times New Roman"/>
          <w:sz w:val="24"/>
          <w:szCs w:val="24"/>
        </w:rPr>
        <w:t xml:space="preserve">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</w:t>
      </w:r>
      <w:r>
        <w:rPr>
          <w:rFonts w:ascii="Times New Roman" w:hAnsi="Times New Roman"/>
          <w:sz w:val="24"/>
          <w:szCs w:val="24"/>
        </w:rPr>
        <w:t xml:space="preserve"> действует до принятия нов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0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68920040"/>
      <w:docPartObj>
        <w:docPartGallery w:val="Page Numbers (Bottom of Page)"/>
        <w:docPartUnique w:val="true"/>
      </w:docPartObj>
      <w:rPr/>
    </w:sdtPr>
    <w:sdtContent>
      <w:p>
        <w:pPr>
          <w:pStyle w:val="85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9"/>
    <w:next w:val="839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0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9"/>
    <w:next w:val="839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0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0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0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0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0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0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9"/>
    <w:next w:val="83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0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39"/>
    <w:next w:val="839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0"/>
    <w:link w:val="685"/>
    <w:uiPriority w:val="10"/>
    <w:rPr>
      <w:sz w:val="48"/>
      <w:szCs w:val="48"/>
    </w:rPr>
  </w:style>
  <w:style w:type="paragraph" w:styleId="687">
    <w:name w:val="Subtitle"/>
    <w:basedOn w:val="839"/>
    <w:next w:val="839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0"/>
    <w:link w:val="687"/>
    <w:uiPriority w:val="11"/>
    <w:rPr>
      <w:sz w:val="24"/>
      <w:szCs w:val="24"/>
    </w:rPr>
  </w:style>
  <w:style w:type="paragraph" w:styleId="689">
    <w:name w:val="Quote"/>
    <w:basedOn w:val="839"/>
    <w:next w:val="839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9"/>
    <w:next w:val="839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0"/>
    <w:link w:val="849"/>
    <w:uiPriority w:val="99"/>
  </w:style>
  <w:style w:type="character" w:styleId="694">
    <w:name w:val="Footer Char"/>
    <w:basedOn w:val="840"/>
    <w:link w:val="851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51"/>
    <w:uiPriority w:val="99"/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line="256" w:lineRule="auto"/>
    </w:p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Balloon Text"/>
    <w:basedOn w:val="839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40"/>
    <w:link w:val="843"/>
    <w:uiPriority w:val="99"/>
    <w:semiHidden/>
    <w:rPr>
      <w:rFonts w:ascii="Segoe UI" w:hAnsi="Segoe UI" w:cs="Segoe UI"/>
      <w:sz w:val="18"/>
      <w:szCs w:val="18"/>
    </w:rPr>
  </w:style>
  <w:style w:type="paragraph" w:styleId="845">
    <w:name w:val="List Paragraph"/>
    <w:basedOn w:val="839"/>
    <w:uiPriority w:val="34"/>
    <w:qFormat/>
    <w:pPr>
      <w:contextualSpacing/>
      <w:ind w:left="720"/>
    </w:pPr>
  </w:style>
  <w:style w:type="table" w:styleId="846" w:customStyle="1">
    <w:name w:val="Сетка таблицы1"/>
    <w:basedOn w:val="841"/>
    <w:next w:val="847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Table Grid"/>
    <w:basedOn w:val="84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Сетка таблицы2"/>
    <w:basedOn w:val="841"/>
    <w:next w:val="847"/>
    <w:uiPriority w:val="5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>
    <w:name w:val="Header"/>
    <w:basedOn w:val="839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Верхний колонтитул Знак"/>
    <w:basedOn w:val="840"/>
    <w:link w:val="849"/>
    <w:uiPriority w:val="99"/>
  </w:style>
  <w:style w:type="paragraph" w:styleId="851">
    <w:name w:val="Footer"/>
    <w:basedOn w:val="839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Нижний колонтитул Знак"/>
    <w:basedOn w:val="840"/>
    <w:link w:val="851"/>
    <w:uiPriority w:val="99"/>
  </w:style>
  <w:style w:type="character" w:styleId="853">
    <w:name w:val="Hyperlink"/>
    <w:basedOn w:val="840"/>
    <w:uiPriority w:val="99"/>
    <w:semiHidden/>
    <w:unhideWhenUsed/>
    <w:rPr>
      <w:color w:val="0000ff"/>
      <w:u w:val="single"/>
    </w:rPr>
  </w:style>
  <w:style w:type="table" w:styleId="854" w:customStyle="1">
    <w:name w:val="Сетка таблицы3"/>
    <w:basedOn w:val="841"/>
    <w:next w:val="847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ds143_nn@mail.52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</cp:revision>
  <dcterms:created xsi:type="dcterms:W3CDTF">2020-07-14T11:04:00Z</dcterms:created>
  <dcterms:modified xsi:type="dcterms:W3CDTF">2024-04-17T06:35:11Z</dcterms:modified>
</cp:coreProperties>
</file>