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A0" w:rsidRDefault="00A81BA0" w:rsidP="00A81BA0">
      <w:pPr>
        <w:spacing w:after="0"/>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A81BA0" w:rsidRDefault="00A81BA0" w:rsidP="00A81BA0">
      <w:pPr>
        <w:spacing w:after="0"/>
        <w:jc w:val="right"/>
        <w:rPr>
          <w:rFonts w:ascii="Times New Roman" w:hAnsi="Times New Roman" w:cs="Times New Roman"/>
          <w:sz w:val="28"/>
          <w:szCs w:val="28"/>
        </w:rPr>
      </w:pPr>
      <w:r>
        <w:rPr>
          <w:rFonts w:ascii="Times New Roman" w:hAnsi="Times New Roman" w:cs="Times New Roman"/>
          <w:sz w:val="28"/>
          <w:szCs w:val="28"/>
        </w:rPr>
        <w:t>приказом от 17.01.2023г. №2/6 - О</w:t>
      </w:r>
    </w:p>
    <w:p w:rsidR="00A81BA0" w:rsidRDefault="00A81BA0" w:rsidP="00A81BA0">
      <w:pPr>
        <w:spacing w:after="0"/>
        <w:jc w:val="center"/>
        <w:rPr>
          <w:rFonts w:ascii="Times New Roman" w:hAnsi="Times New Roman" w:cs="Times New Roman"/>
          <w:sz w:val="28"/>
          <w:szCs w:val="28"/>
        </w:rPr>
      </w:pPr>
    </w:p>
    <w:p w:rsidR="00A81BA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об оценке коррупционных рисков </w:t>
      </w:r>
    </w:p>
    <w:p w:rsidR="00A81BA0" w:rsidRPr="00067DD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w:t>
      </w:r>
      <w:r>
        <w:rPr>
          <w:rFonts w:ascii="Times New Roman" w:hAnsi="Times New Roman" w:cs="Times New Roman"/>
          <w:sz w:val="28"/>
          <w:szCs w:val="28"/>
        </w:rPr>
        <w:t>МБДОУ «Детский сад №30 «Зоренька»</w:t>
      </w:r>
    </w:p>
    <w:p w:rsidR="00A81BA0" w:rsidRDefault="00A81BA0" w:rsidP="00A81BA0">
      <w:pPr>
        <w:spacing w:after="0"/>
        <w:ind w:firstLine="709"/>
        <w:jc w:val="both"/>
        <w:rPr>
          <w:rFonts w:ascii="Times New Roman" w:hAnsi="Times New Roman" w:cs="Times New Roman"/>
          <w:sz w:val="28"/>
          <w:szCs w:val="28"/>
        </w:rPr>
      </w:pP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w:t>
      </w:r>
      <w:r>
        <w:rPr>
          <w:rFonts w:ascii="Times New Roman" w:hAnsi="Times New Roman" w:cs="Times New Roman"/>
          <w:sz w:val="28"/>
          <w:szCs w:val="28"/>
        </w:rPr>
        <w:t>МБДОУ «Детский сад №30 «</w:t>
      </w:r>
      <w:proofErr w:type="gramStart"/>
      <w:r>
        <w:rPr>
          <w:rFonts w:ascii="Times New Roman" w:hAnsi="Times New Roman" w:cs="Times New Roman"/>
          <w:sz w:val="28"/>
          <w:szCs w:val="28"/>
        </w:rPr>
        <w:t xml:space="preserve">Зоренька» </w:t>
      </w:r>
      <w:r w:rsidRPr="00067DD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 Провести анализ деятельности Учреждения, выделив: отдельные процессы; составные элементы процессов (</w:t>
      </w:r>
      <w:proofErr w:type="spellStart"/>
      <w:r w:rsidRPr="00067DD0">
        <w:rPr>
          <w:rFonts w:ascii="Times New Roman" w:hAnsi="Times New Roman" w:cs="Times New Roman"/>
          <w:sz w:val="28"/>
          <w:szCs w:val="28"/>
        </w:rPr>
        <w:t>подпроцессы</w:t>
      </w:r>
      <w:proofErr w:type="spellEnd"/>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2. Выделить «критические точки» </w:t>
      </w:r>
      <w:r w:rsidRPr="006216AC">
        <w:rPr>
          <w:rFonts w:ascii="Times New Roman" w:hAnsi="Times New Roman" w:cs="Times New Roman"/>
          <w:sz w:val="28"/>
          <w:szCs w:val="28"/>
        </w:rPr>
        <w:t>(элементы процессов (</w:t>
      </w:r>
      <w:proofErr w:type="spellStart"/>
      <w:r w:rsidRPr="006216AC">
        <w:rPr>
          <w:rFonts w:ascii="Times New Roman" w:hAnsi="Times New Roman" w:cs="Times New Roman"/>
          <w:sz w:val="28"/>
          <w:szCs w:val="28"/>
        </w:rPr>
        <w:t>подпроцессов</w:t>
      </w:r>
      <w:proofErr w:type="spellEnd"/>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Составить для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реализация которых связана с коррупционным риском, описание возможных коррупционных правонарушений, включающее: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w:t>
      </w:r>
      <w:proofErr w:type="spellStart"/>
      <w:r w:rsidRPr="00067DD0">
        <w:rPr>
          <w:rFonts w:ascii="Times New Roman" w:hAnsi="Times New Roman" w:cs="Times New Roman"/>
          <w:sz w:val="28"/>
          <w:szCs w:val="28"/>
        </w:rPr>
        <w:t>коррупциогенные</w:t>
      </w:r>
      <w:proofErr w:type="spellEnd"/>
      <w:r w:rsidRPr="00067DD0">
        <w:rPr>
          <w:rFonts w:ascii="Times New Roman" w:hAnsi="Times New Roman" w:cs="Times New Roman"/>
          <w:sz w:val="28"/>
          <w:szCs w:val="28"/>
        </w:rPr>
        <w:t xml:space="preserve"> должности)</w:t>
      </w:r>
      <w:r>
        <w:rPr>
          <w:rFonts w:ascii="Times New Roman" w:hAnsi="Times New Roman" w:cs="Times New Roman"/>
          <w:sz w:val="28"/>
          <w:szCs w:val="28"/>
        </w:rPr>
        <w:t xml:space="preserve">, </w:t>
      </w:r>
      <w:r w:rsidRPr="00187A74">
        <w:rPr>
          <w:rFonts w:ascii="Times New Roman" w:hAnsi="Times New Roman" w:cs="Times New Roman"/>
          <w:sz w:val="28"/>
          <w:szCs w:val="28"/>
        </w:rPr>
        <w:t>с возможным указанием ФИО сотрудников, замещающих указанные должности;</w:t>
      </w:r>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регламентация сроков и порядка реализации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с повышенным уровнем коррупционной уязвимости;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использование видео- и звукозаписывающих устройств в местах приема граждан и представителей организаций и иные меры.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зоны повышенного коррупционного риска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-опасные функции и полномочия), которые считаются наиболее предрасполагающими к возникновению коррупционных правонарушений;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перечень должностей Учреждения, связанных с определенной зоной повышенного коррупционного риска (с реализацией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-опасных функций и полномочий</w:t>
      </w:r>
      <w:r w:rsidRPr="006216AC">
        <w:rPr>
          <w:rFonts w:ascii="Times New Roman" w:hAnsi="Times New Roman" w:cs="Times New Roman"/>
          <w:sz w:val="28"/>
          <w:szCs w:val="28"/>
        </w:rPr>
        <w:t>), фамилии и инициалы замещающих их сотрудников;</w:t>
      </w:r>
      <w:r w:rsidRPr="00067DD0">
        <w:rPr>
          <w:rFonts w:ascii="Times New Roman" w:hAnsi="Times New Roman" w:cs="Times New Roman"/>
          <w:sz w:val="28"/>
          <w:szCs w:val="28"/>
        </w:rPr>
        <w:t xml:space="preserve">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-опасных функций.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A81BA0" w:rsidRPr="00067DD0" w:rsidRDefault="00A81BA0" w:rsidP="00A81BA0">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A81BA0" w:rsidRPr="00067DD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Default="00A81BA0" w:rsidP="00A81BA0">
      <w:pPr>
        <w:spacing w:after="0"/>
        <w:jc w:val="right"/>
        <w:rPr>
          <w:rFonts w:ascii="Times New Roman" w:hAnsi="Times New Roman" w:cs="Times New Roman"/>
          <w:sz w:val="28"/>
          <w:szCs w:val="28"/>
        </w:rPr>
      </w:pPr>
    </w:p>
    <w:p w:rsidR="00A81BA0" w:rsidRPr="00067DD0" w:rsidRDefault="00A81BA0" w:rsidP="00A81BA0">
      <w:pPr>
        <w:spacing w:after="0"/>
        <w:jc w:val="right"/>
        <w:rPr>
          <w:rFonts w:ascii="Times New Roman" w:hAnsi="Times New Roman" w:cs="Times New Roman"/>
          <w:sz w:val="28"/>
          <w:szCs w:val="28"/>
        </w:rPr>
      </w:pPr>
      <w:bookmarkStart w:id="0" w:name="_GoBack"/>
      <w:bookmarkEnd w:id="0"/>
      <w:r w:rsidRPr="00067DD0">
        <w:rPr>
          <w:rFonts w:ascii="Times New Roman" w:hAnsi="Times New Roman" w:cs="Times New Roman"/>
          <w:sz w:val="28"/>
          <w:szCs w:val="28"/>
        </w:rPr>
        <w:lastRenderedPageBreak/>
        <w:t xml:space="preserve">Приложение </w:t>
      </w:r>
    </w:p>
    <w:p w:rsidR="00A81BA0" w:rsidRPr="00067DD0" w:rsidRDefault="00A81BA0" w:rsidP="00A81BA0">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A81BA0" w:rsidRPr="00067DD0" w:rsidRDefault="00A81BA0" w:rsidP="00A81BA0">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в </w:t>
      </w:r>
      <w:r>
        <w:rPr>
          <w:rFonts w:ascii="Times New Roman" w:hAnsi="Times New Roman" w:cs="Times New Roman"/>
          <w:sz w:val="28"/>
          <w:szCs w:val="28"/>
        </w:rPr>
        <w:t>МБДОУ «Детский сад №30 «Зоренька»</w:t>
      </w:r>
    </w:p>
    <w:p w:rsidR="00A81BA0" w:rsidRPr="00067DD0" w:rsidRDefault="00A81BA0" w:rsidP="00A81BA0">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 </w:t>
      </w:r>
    </w:p>
    <w:p w:rsidR="00A81BA0" w:rsidRPr="00067DD0" w:rsidRDefault="00A81BA0" w:rsidP="00A81BA0">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3"/>
        <w:tblW w:w="0" w:type="auto"/>
        <w:tblInd w:w="-601" w:type="dxa"/>
        <w:tblLook w:val="04A0" w:firstRow="1" w:lastRow="0" w:firstColumn="1" w:lastColumn="0" w:noHBand="0" w:noVBand="1"/>
      </w:tblPr>
      <w:tblGrid>
        <w:gridCol w:w="620"/>
        <w:gridCol w:w="1307"/>
        <w:gridCol w:w="1873"/>
        <w:gridCol w:w="1837"/>
        <w:gridCol w:w="1579"/>
        <w:gridCol w:w="1318"/>
        <w:gridCol w:w="1412"/>
      </w:tblGrid>
      <w:tr w:rsidR="00A81BA0" w:rsidRPr="00067DD0" w:rsidTr="00AE47DE">
        <w:tc>
          <w:tcPr>
            <w:tcW w:w="671" w:type="dxa"/>
            <w:vMerge w:val="restart"/>
          </w:tcPr>
          <w:p w:rsidR="00A81BA0" w:rsidRPr="00067DD0" w:rsidRDefault="00A81BA0" w:rsidP="00AE47DE">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замещение которых связано с коррупционными рисками</w:t>
            </w:r>
            <w:r w:rsidRPr="00187A74">
              <w:rPr>
                <w:rFonts w:ascii="Times New Roman" w:hAnsi="Times New Roman" w:cs="Times New Roman"/>
                <w:sz w:val="20"/>
                <w:szCs w:val="20"/>
              </w:rPr>
              <w:t>, ФИО сотрудников</w:t>
            </w:r>
          </w:p>
        </w:tc>
        <w:tc>
          <w:tcPr>
            <w:tcW w:w="1590" w:type="dxa"/>
            <w:vMerge w:val="restart"/>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Вероятность риска, потенциальный вред</w:t>
            </w:r>
          </w:p>
        </w:tc>
        <w:tc>
          <w:tcPr>
            <w:tcW w:w="2730" w:type="dxa"/>
            <w:gridSpan w:val="2"/>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A81BA0" w:rsidRPr="00067DD0" w:rsidTr="00AE47DE">
        <w:tc>
          <w:tcPr>
            <w:tcW w:w="671" w:type="dxa"/>
            <w:vMerge/>
          </w:tcPr>
          <w:p w:rsidR="00A81BA0" w:rsidRPr="00067DD0" w:rsidRDefault="00A81BA0" w:rsidP="00AE47DE">
            <w:pPr>
              <w:jc w:val="both"/>
              <w:rPr>
                <w:rFonts w:ascii="Times New Roman" w:hAnsi="Times New Roman" w:cs="Times New Roman"/>
                <w:sz w:val="28"/>
                <w:szCs w:val="28"/>
              </w:rPr>
            </w:pPr>
          </w:p>
        </w:tc>
        <w:tc>
          <w:tcPr>
            <w:tcW w:w="1307" w:type="dxa"/>
            <w:vMerge/>
          </w:tcPr>
          <w:p w:rsidR="00A81BA0" w:rsidRPr="00A17D95" w:rsidRDefault="00A81BA0" w:rsidP="00AE47DE">
            <w:pPr>
              <w:jc w:val="both"/>
              <w:rPr>
                <w:rFonts w:ascii="Times New Roman" w:hAnsi="Times New Roman" w:cs="Times New Roman"/>
                <w:sz w:val="20"/>
                <w:szCs w:val="20"/>
              </w:rPr>
            </w:pPr>
          </w:p>
        </w:tc>
        <w:tc>
          <w:tcPr>
            <w:tcW w:w="1992" w:type="dxa"/>
            <w:vMerge/>
          </w:tcPr>
          <w:p w:rsidR="00A81BA0" w:rsidRPr="00A17D95" w:rsidRDefault="00A81BA0" w:rsidP="00AE47DE">
            <w:pPr>
              <w:jc w:val="both"/>
              <w:rPr>
                <w:rFonts w:ascii="Times New Roman" w:hAnsi="Times New Roman" w:cs="Times New Roman"/>
                <w:sz w:val="20"/>
                <w:szCs w:val="20"/>
              </w:rPr>
            </w:pPr>
          </w:p>
        </w:tc>
        <w:tc>
          <w:tcPr>
            <w:tcW w:w="1882" w:type="dxa"/>
            <w:vMerge/>
          </w:tcPr>
          <w:p w:rsidR="00A81BA0" w:rsidRPr="00A17D95" w:rsidRDefault="00A81BA0" w:rsidP="00AE47DE">
            <w:pPr>
              <w:jc w:val="both"/>
              <w:rPr>
                <w:rFonts w:ascii="Times New Roman" w:hAnsi="Times New Roman" w:cs="Times New Roman"/>
                <w:sz w:val="20"/>
                <w:szCs w:val="20"/>
              </w:rPr>
            </w:pPr>
          </w:p>
        </w:tc>
        <w:tc>
          <w:tcPr>
            <w:tcW w:w="1590" w:type="dxa"/>
            <w:vMerge/>
          </w:tcPr>
          <w:p w:rsidR="00A81BA0" w:rsidRPr="00A17D95" w:rsidRDefault="00A81BA0" w:rsidP="00AE47DE">
            <w:pPr>
              <w:jc w:val="both"/>
              <w:rPr>
                <w:rFonts w:ascii="Times New Roman" w:hAnsi="Times New Roman" w:cs="Times New Roman"/>
                <w:sz w:val="20"/>
                <w:szCs w:val="20"/>
              </w:rPr>
            </w:pPr>
          </w:p>
        </w:tc>
        <w:tc>
          <w:tcPr>
            <w:tcW w:w="1318" w:type="dxa"/>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A81BA0" w:rsidRPr="00A17D95" w:rsidRDefault="00A81BA0" w:rsidP="00AE47DE">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A81BA0" w:rsidRPr="00067DD0" w:rsidTr="00AE47DE">
        <w:tc>
          <w:tcPr>
            <w:tcW w:w="671" w:type="dxa"/>
          </w:tcPr>
          <w:p w:rsidR="00A81BA0" w:rsidRPr="00067DD0" w:rsidRDefault="00A81BA0" w:rsidP="00AE47DE">
            <w:pPr>
              <w:jc w:val="both"/>
              <w:rPr>
                <w:rFonts w:ascii="Times New Roman" w:hAnsi="Times New Roman" w:cs="Times New Roman"/>
                <w:sz w:val="28"/>
                <w:szCs w:val="28"/>
              </w:rPr>
            </w:pPr>
          </w:p>
        </w:tc>
        <w:tc>
          <w:tcPr>
            <w:tcW w:w="1307" w:type="dxa"/>
          </w:tcPr>
          <w:p w:rsidR="00A81BA0" w:rsidRPr="00067DD0" w:rsidRDefault="00A81BA0" w:rsidP="00AE47DE">
            <w:pPr>
              <w:jc w:val="both"/>
              <w:rPr>
                <w:rFonts w:ascii="Times New Roman" w:hAnsi="Times New Roman" w:cs="Times New Roman"/>
                <w:sz w:val="28"/>
                <w:szCs w:val="28"/>
              </w:rPr>
            </w:pPr>
          </w:p>
        </w:tc>
        <w:tc>
          <w:tcPr>
            <w:tcW w:w="1992" w:type="dxa"/>
          </w:tcPr>
          <w:p w:rsidR="00A81BA0" w:rsidRPr="00067DD0" w:rsidRDefault="00A81BA0" w:rsidP="00AE47DE">
            <w:pPr>
              <w:jc w:val="both"/>
              <w:rPr>
                <w:rFonts w:ascii="Times New Roman" w:hAnsi="Times New Roman" w:cs="Times New Roman"/>
                <w:sz w:val="28"/>
                <w:szCs w:val="28"/>
              </w:rPr>
            </w:pPr>
          </w:p>
        </w:tc>
        <w:tc>
          <w:tcPr>
            <w:tcW w:w="1882" w:type="dxa"/>
          </w:tcPr>
          <w:p w:rsidR="00A81BA0" w:rsidRPr="00067DD0" w:rsidRDefault="00A81BA0" w:rsidP="00AE47DE">
            <w:pPr>
              <w:jc w:val="both"/>
              <w:rPr>
                <w:rFonts w:ascii="Times New Roman" w:hAnsi="Times New Roman" w:cs="Times New Roman"/>
                <w:sz w:val="28"/>
                <w:szCs w:val="28"/>
              </w:rPr>
            </w:pPr>
          </w:p>
        </w:tc>
        <w:tc>
          <w:tcPr>
            <w:tcW w:w="1590" w:type="dxa"/>
          </w:tcPr>
          <w:p w:rsidR="00A81BA0" w:rsidRPr="00067DD0" w:rsidRDefault="00A81BA0" w:rsidP="00AE47DE">
            <w:pPr>
              <w:jc w:val="both"/>
              <w:rPr>
                <w:rFonts w:ascii="Times New Roman" w:hAnsi="Times New Roman" w:cs="Times New Roman"/>
                <w:sz w:val="28"/>
                <w:szCs w:val="28"/>
              </w:rPr>
            </w:pPr>
          </w:p>
        </w:tc>
        <w:tc>
          <w:tcPr>
            <w:tcW w:w="2730" w:type="dxa"/>
            <w:gridSpan w:val="2"/>
          </w:tcPr>
          <w:p w:rsidR="00A81BA0" w:rsidRPr="00067DD0" w:rsidRDefault="00A81BA0" w:rsidP="00AE47DE">
            <w:pPr>
              <w:jc w:val="both"/>
              <w:rPr>
                <w:rFonts w:ascii="Times New Roman" w:hAnsi="Times New Roman" w:cs="Times New Roman"/>
                <w:sz w:val="28"/>
                <w:szCs w:val="28"/>
              </w:rPr>
            </w:pPr>
          </w:p>
        </w:tc>
      </w:tr>
    </w:tbl>
    <w:p w:rsidR="00A81BA0" w:rsidRPr="00067DD0" w:rsidRDefault="00A81BA0" w:rsidP="00A81BA0">
      <w:pPr>
        <w:spacing w:after="0"/>
        <w:jc w:val="right"/>
        <w:rPr>
          <w:rFonts w:ascii="Times New Roman" w:hAnsi="Times New Roman" w:cs="Times New Roman"/>
          <w:sz w:val="28"/>
          <w:szCs w:val="28"/>
        </w:rPr>
      </w:pPr>
    </w:p>
    <w:p w:rsidR="00A81BA0" w:rsidRPr="00CC6CAD" w:rsidRDefault="00A81BA0" w:rsidP="00A81BA0">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3"/>
        <w:tblW w:w="0" w:type="auto"/>
        <w:tblInd w:w="-601" w:type="dxa"/>
        <w:tblLayout w:type="fixed"/>
        <w:tblLook w:val="04A0" w:firstRow="1" w:lastRow="0" w:firstColumn="1" w:lastColumn="0" w:noHBand="0" w:noVBand="1"/>
      </w:tblPr>
      <w:tblGrid>
        <w:gridCol w:w="709"/>
        <w:gridCol w:w="1276"/>
        <w:gridCol w:w="1916"/>
        <w:gridCol w:w="1457"/>
        <w:gridCol w:w="1447"/>
        <w:gridCol w:w="1546"/>
        <w:gridCol w:w="13"/>
        <w:gridCol w:w="1808"/>
      </w:tblGrid>
      <w:tr w:rsidR="00A81BA0" w:rsidRPr="00CC6CAD" w:rsidTr="00AE47DE">
        <w:tc>
          <w:tcPr>
            <w:tcW w:w="709"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замещение которых связано с коррупционными рисками</w:t>
            </w:r>
            <w:r>
              <w:rPr>
                <w:rFonts w:ascii="Times New Roman" w:hAnsi="Times New Roman" w:cs="Times New Roman"/>
                <w:sz w:val="18"/>
                <w:szCs w:val="18"/>
              </w:rPr>
              <w:t xml:space="preserve">, ФИО сотрудников </w:t>
            </w:r>
          </w:p>
        </w:tc>
        <w:tc>
          <w:tcPr>
            <w:tcW w:w="1447" w:type="dxa"/>
            <w:vMerge w:val="restart"/>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A81BA0" w:rsidRPr="00CC6CAD" w:rsidTr="00AE47DE">
        <w:tc>
          <w:tcPr>
            <w:tcW w:w="709" w:type="dxa"/>
            <w:vMerge/>
          </w:tcPr>
          <w:p w:rsidR="00A81BA0" w:rsidRPr="00CC6CAD" w:rsidRDefault="00A81BA0" w:rsidP="00AE47DE">
            <w:pPr>
              <w:jc w:val="both"/>
              <w:rPr>
                <w:rFonts w:ascii="Times New Roman" w:hAnsi="Times New Roman" w:cs="Times New Roman"/>
                <w:sz w:val="18"/>
                <w:szCs w:val="18"/>
              </w:rPr>
            </w:pPr>
          </w:p>
        </w:tc>
        <w:tc>
          <w:tcPr>
            <w:tcW w:w="1276" w:type="dxa"/>
            <w:vMerge/>
          </w:tcPr>
          <w:p w:rsidR="00A81BA0" w:rsidRPr="00CC6CAD" w:rsidRDefault="00A81BA0" w:rsidP="00AE47DE">
            <w:pPr>
              <w:jc w:val="both"/>
              <w:rPr>
                <w:rFonts w:ascii="Times New Roman" w:hAnsi="Times New Roman" w:cs="Times New Roman"/>
                <w:sz w:val="18"/>
                <w:szCs w:val="18"/>
              </w:rPr>
            </w:pPr>
          </w:p>
        </w:tc>
        <w:tc>
          <w:tcPr>
            <w:tcW w:w="1916" w:type="dxa"/>
            <w:vMerge/>
          </w:tcPr>
          <w:p w:rsidR="00A81BA0" w:rsidRPr="00CC6CAD" w:rsidRDefault="00A81BA0" w:rsidP="00AE47DE">
            <w:pPr>
              <w:jc w:val="both"/>
              <w:rPr>
                <w:rFonts w:ascii="Times New Roman" w:hAnsi="Times New Roman" w:cs="Times New Roman"/>
                <w:sz w:val="18"/>
                <w:szCs w:val="18"/>
              </w:rPr>
            </w:pPr>
          </w:p>
        </w:tc>
        <w:tc>
          <w:tcPr>
            <w:tcW w:w="1457" w:type="dxa"/>
            <w:vMerge/>
          </w:tcPr>
          <w:p w:rsidR="00A81BA0" w:rsidRPr="00CC6CAD" w:rsidRDefault="00A81BA0" w:rsidP="00AE47DE">
            <w:pPr>
              <w:jc w:val="both"/>
              <w:rPr>
                <w:rFonts w:ascii="Times New Roman" w:hAnsi="Times New Roman" w:cs="Times New Roman"/>
                <w:sz w:val="18"/>
                <w:szCs w:val="18"/>
              </w:rPr>
            </w:pPr>
          </w:p>
        </w:tc>
        <w:tc>
          <w:tcPr>
            <w:tcW w:w="1447" w:type="dxa"/>
            <w:vMerge/>
          </w:tcPr>
          <w:p w:rsidR="00A81BA0" w:rsidRPr="00CC6CAD" w:rsidRDefault="00A81BA0" w:rsidP="00AE47DE">
            <w:pPr>
              <w:jc w:val="both"/>
              <w:rPr>
                <w:rFonts w:ascii="Times New Roman" w:hAnsi="Times New Roman" w:cs="Times New Roman"/>
                <w:sz w:val="18"/>
                <w:szCs w:val="18"/>
              </w:rPr>
            </w:pPr>
          </w:p>
        </w:tc>
        <w:tc>
          <w:tcPr>
            <w:tcW w:w="1559" w:type="dxa"/>
            <w:gridSpan w:val="2"/>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A81BA0" w:rsidRPr="00CC6CAD" w:rsidRDefault="00A81BA0" w:rsidP="00AE47DE">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A81BA0" w:rsidRPr="00187A74" w:rsidRDefault="00A81BA0" w:rsidP="00AE47DE">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 (Иванов И.И.,), руководители структурных подразделений учреждения</w:t>
            </w:r>
            <w:r>
              <w:rPr>
                <w:rFonts w:ascii="Times New Roman" w:hAnsi="Times New Roman" w:cs="Times New Roman"/>
                <w:sz w:val="18"/>
                <w:szCs w:val="18"/>
              </w:rPr>
              <w:t xml:space="preserve"> (</w:t>
            </w:r>
            <w:r w:rsidRPr="00187A74">
              <w:rPr>
                <w:rFonts w:ascii="Times New Roman" w:hAnsi="Times New Roman" w:cs="Times New Roman"/>
                <w:sz w:val="18"/>
                <w:szCs w:val="18"/>
              </w:rPr>
              <w:t>Петров П.П., Сидоров С.С.</w:t>
            </w:r>
            <w:r>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Pr>
                <w:rFonts w:ascii="Times New Roman" w:hAnsi="Times New Roman" w:cs="Times New Roman"/>
                <w:sz w:val="18"/>
                <w:szCs w:val="18"/>
              </w:rPr>
              <w:t xml:space="preserve"> (Смирнов М.М. и т.д.)</w:t>
            </w:r>
            <w:r w:rsidRPr="00187A74">
              <w:rPr>
                <w:rFonts w:ascii="Times New Roman" w:hAnsi="Times New Roman" w:cs="Times New Roman"/>
                <w:sz w:val="18"/>
                <w:szCs w:val="18"/>
              </w:rPr>
              <w:t xml:space="preserve"> </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Внутренний контроль за исполнением работниками должностных обязанностей, основанный на механизме проверочных мероприятий.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 Контроль за оформлением документации</w:t>
            </w:r>
          </w:p>
        </w:tc>
        <w:tc>
          <w:tcPr>
            <w:tcW w:w="1821"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Использование средств видеонаблюдения и аудиозаписи в местах приема граждан.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 Организация внутреннего контроля за качеством оказания услуг.</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A81BA0" w:rsidRPr="00CC6CAD" w:rsidRDefault="00A81BA0" w:rsidP="00AE47DE">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Предоставление не предусмотренных законом преимуществ, (протекционизм, семейственность и </w:t>
            </w:r>
            <w:r w:rsidRPr="00CC6CAD">
              <w:rPr>
                <w:rFonts w:ascii="Times New Roman" w:hAnsi="Times New Roman" w:cs="Times New Roman"/>
                <w:sz w:val="18"/>
                <w:szCs w:val="18"/>
              </w:rPr>
              <w:lastRenderedPageBreak/>
              <w:t>др.) при оформлении на работу.</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Руководитель учреждения, кадровый работник, руководители структурных </w:t>
            </w:r>
            <w:r w:rsidRPr="00CC6CAD">
              <w:rPr>
                <w:rFonts w:ascii="Times New Roman" w:hAnsi="Times New Roman" w:cs="Times New Roman"/>
                <w:sz w:val="18"/>
                <w:szCs w:val="18"/>
              </w:rPr>
              <w:lastRenderedPageBreak/>
              <w:t>подразделений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Низкая вероятность, незначительный потенциальный вред.</w:t>
            </w:r>
          </w:p>
        </w:tc>
        <w:tc>
          <w:tcPr>
            <w:tcW w:w="154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Разъяснительная работа с ответственными лицами о мерах ответственности за совершение коррупционных </w:t>
            </w:r>
            <w:r w:rsidRPr="00CC6CAD">
              <w:rPr>
                <w:rFonts w:ascii="Times New Roman" w:hAnsi="Times New Roman" w:cs="Times New Roman"/>
                <w:sz w:val="18"/>
                <w:szCs w:val="18"/>
              </w:rPr>
              <w:lastRenderedPageBreak/>
              <w:t>правонарушений.</w:t>
            </w:r>
          </w:p>
        </w:tc>
        <w:tc>
          <w:tcPr>
            <w:tcW w:w="1821"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Проведение собеседования при приеме на работу.</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2.2</w:t>
            </w:r>
          </w:p>
        </w:tc>
        <w:tc>
          <w:tcPr>
            <w:tcW w:w="1276" w:type="dxa"/>
          </w:tcPr>
          <w:p w:rsidR="00A81BA0" w:rsidRPr="00CC6CAD" w:rsidRDefault="00A81BA0" w:rsidP="00AE47DE">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A81BA0" w:rsidRPr="00CC6CAD" w:rsidRDefault="00A81BA0" w:rsidP="00AE47DE">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аффилированно </w:t>
            </w:r>
            <w:proofErr w:type="spellStart"/>
            <w:r w:rsidRPr="00CC6CAD">
              <w:rPr>
                <w:rFonts w:ascii="Times New Roman" w:hAnsi="Times New Roman" w:cs="Times New Roman"/>
                <w:sz w:val="18"/>
                <w:szCs w:val="18"/>
              </w:rPr>
              <w:t>го</w:t>
            </w:r>
            <w:proofErr w:type="spellEnd"/>
            <w:r w:rsidRPr="00CC6CAD">
              <w:rPr>
                <w:rFonts w:ascii="Times New Roman" w:hAnsi="Times New Roman" w:cs="Times New Roman"/>
                <w:sz w:val="18"/>
                <w:szCs w:val="18"/>
              </w:rPr>
              <w:t xml:space="preserve">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w:t>
            </w:r>
            <w:r w:rsidRPr="00CC6CAD">
              <w:rPr>
                <w:rFonts w:ascii="Times New Roman" w:hAnsi="Times New Roman" w:cs="Times New Roman"/>
                <w:sz w:val="18"/>
                <w:szCs w:val="18"/>
              </w:rPr>
              <w:lastRenderedPageBreak/>
              <w:t>незаконное вознаграждение.</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ответственные за осуществление закупок, руководитель, курирующий подразделение, ответственное за осуществление закупок.</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Установлен запрет на объединение в одной закупке несвязанных между собой товаров, работ, услуг.</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 2. Прием жалоб от возможных поставщиков на ограничение конкуренции.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Оценка уполномоченным подразделением учреждения целесообразности объединения в одной закупке разных товаров, работ, услуг для закупок, в состав которых входит более одного товара, работы, услуги.</w:t>
            </w:r>
          </w:p>
          <w:p w:rsidR="00A81BA0" w:rsidRPr="00CC6CAD" w:rsidRDefault="00A81BA0" w:rsidP="00A81BA0">
            <w:pPr>
              <w:jc w:val="both"/>
              <w:rPr>
                <w:rFonts w:ascii="Times New Roman" w:hAnsi="Times New Roman" w:cs="Times New Roman"/>
                <w:sz w:val="18"/>
                <w:szCs w:val="18"/>
              </w:rPr>
            </w:pPr>
            <w:r w:rsidRPr="00CC6CAD">
              <w:rPr>
                <w:rFonts w:ascii="Times New Roman" w:hAnsi="Times New Roman" w:cs="Times New Roman"/>
                <w:sz w:val="18"/>
                <w:szCs w:val="18"/>
              </w:rPr>
              <w:t xml:space="preserve"> 2.Проверка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О</w:t>
            </w:r>
            <w:r>
              <w:rPr>
                <w:rFonts w:ascii="Times New Roman" w:hAnsi="Times New Roman" w:cs="Times New Roman"/>
                <w:sz w:val="18"/>
                <w:szCs w:val="18"/>
              </w:rPr>
              <w:t>ценка заявок и выбор поставщика</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необоснованным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2. 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w:t>
            </w:r>
          </w:p>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 Наличие перечня оснований, когда может проводиться закупка у единственного поставщика.</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 4. Недопущение осуществления закупки у перекупщика, а не у реального поставщика (в случае закупки у единственного поставщика).</w:t>
            </w:r>
          </w:p>
        </w:tc>
        <w:tc>
          <w:tcPr>
            <w:tcW w:w="1808" w:type="dxa"/>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Ограничение возможности закупающим работникам предоставлять кому- либо сведения о ходе закупок, проводить не предусмотренные переговоры с участниками.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2. Ограничение возможности закупающим работникам получать какие-либо выгоды от проведения закупки, кроме официально предусмотренных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4. Разъяснение понятия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установление требований к разрешению выявленных ситуаций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3.3</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При обязательной публикации информации в электронной системе используются неправильные классификаторы или </w:t>
            </w:r>
            <w:r w:rsidRPr="00CC6CAD">
              <w:rPr>
                <w:rFonts w:ascii="Times New Roman" w:hAnsi="Times New Roman" w:cs="Times New Roman"/>
                <w:sz w:val="18"/>
                <w:szCs w:val="18"/>
              </w:rPr>
              <w:lastRenderedPageBreak/>
              <w:t>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Работники учреждения, формирующие документы о закупке</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1. Проверка документации (открытие/ чтение /копирование) закупки. </w:t>
            </w:r>
          </w:p>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2. Прием жалоб от возможных поставщиков на ограничение конкуренции.</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lastRenderedPageBreak/>
              <w:t>4. Распоряжение бюджетными средствами и имуществом учреждения</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A81BA0" w:rsidRPr="00CC6CAD" w:rsidTr="00AE47DE">
        <w:tc>
          <w:tcPr>
            <w:tcW w:w="10172" w:type="dxa"/>
            <w:gridSpan w:val="8"/>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A81BA0" w:rsidRPr="00CC6CAD" w:rsidTr="00AE47DE">
        <w:tc>
          <w:tcPr>
            <w:tcW w:w="709"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определенное вознаграждение предоставить доступ к информации, которая не подлежит официальному распространению.</w:t>
            </w:r>
          </w:p>
        </w:tc>
        <w:tc>
          <w:tcPr>
            <w:tcW w:w="145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в служебное время в информационно – </w:t>
            </w:r>
            <w:proofErr w:type="spellStart"/>
            <w:r w:rsidRPr="00CC6CAD">
              <w:rPr>
                <w:rFonts w:ascii="Times New Roman" w:hAnsi="Times New Roman" w:cs="Times New Roman"/>
                <w:sz w:val="18"/>
                <w:szCs w:val="18"/>
              </w:rPr>
              <w:t>телекоммуник</w:t>
            </w:r>
            <w:proofErr w:type="spell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ационную</w:t>
            </w:r>
            <w:proofErr w:type="spellEnd"/>
            <w:r w:rsidRPr="00CC6CAD">
              <w:rPr>
                <w:rFonts w:ascii="Times New Roman" w:hAnsi="Times New Roman" w:cs="Times New Roman"/>
                <w:sz w:val="18"/>
                <w:szCs w:val="18"/>
              </w:rPr>
              <w:t xml:space="preserve"> сеть «Интернет».</w:t>
            </w:r>
          </w:p>
        </w:tc>
        <w:tc>
          <w:tcPr>
            <w:tcW w:w="1808" w:type="dxa"/>
          </w:tcPr>
          <w:p w:rsidR="00A81BA0" w:rsidRPr="00CC6CAD" w:rsidRDefault="00A81BA0" w:rsidP="00AE47DE">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rsidR="00A81BA0" w:rsidRDefault="00A81BA0" w:rsidP="00A81BA0">
      <w:pPr>
        <w:spacing w:after="0"/>
        <w:jc w:val="right"/>
        <w:rPr>
          <w:rFonts w:ascii="Times New Roman" w:hAnsi="Times New Roman" w:cs="Times New Roman"/>
          <w:sz w:val="28"/>
          <w:szCs w:val="28"/>
        </w:rPr>
      </w:pPr>
    </w:p>
    <w:p w:rsidR="00A81BA0" w:rsidRDefault="00A81BA0" w:rsidP="00A81BA0">
      <w:pPr>
        <w:rPr>
          <w:rFonts w:ascii="Times New Roman" w:hAnsi="Times New Roman" w:cs="Times New Roman"/>
          <w:sz w:val="28"/>
          <w:szCs w:val="28"/>
        </w:rPr>
      </w:pPr>
      <w:r>
        <w:rPr>
          <w:rFonts w:ascii="Times New Roman" w:hAnsi="Times New Roman" w:cs="Times New Roman"/>
          <w:sz w:val="28"/>
          <w:szCs w:val="28"/>
        </w:rPr>
        <w:lastRenderedPageBreak/>
        <w:br w:type="page"/>
      </w:r>
    </w:p>
    <w:p w:rsidR="00556B3D" w:rsidRDefault="00556B3D"/>
    <w:sectPr w:rsidR="00556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A0"/>
    <w:rsid w:val="00556B3D"/>
    <w:rsid w:val="00A8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F1F58-158B-476E-95AC-3A1EC35C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B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1B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1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cp:lastPrinted>2023-01-22T13:05:00Z</cp:lastPrinted>
  <dcterms:created xsi:type="dcterms:W3CDTF">2023-01-22T12:54:00Z</dcterms:created>
  <dcterms:modified xsi:type="dcterms:W3CDTF">2023-01-22T13:09:00Z</dcterms:modified>
</cp:coreProperties>
</file>