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2C" w:rsidRDefault="00E135E4">
      <w:pPr>
        <w:pStyle w:val="c3"/>
        <w:spacing w:after="0"/>
        <w:jc w:val="center"/>
        <w:rPr>
          <w:rFonts w:ascii="Calibri" w:hAnsi="Calibri"/>
          <w:sz w:val="20"/>
        </w:rPr>
      </w:pPr>
      <w:r>
        <w:rPr>
          <w:rStyle w:val="c50"/>
          <w:b/>
          <w:sz w:val="28"/>
        </w:rPr>
        <w:t>Консультация для родителей</w:t>
      </w:r>
    </w:p>
    <w:p w:rsidR="0001332C" w:rsidRDefault="00E135E4">
      <w:pPr>
        <w:pStyle w:val="c3"/>
        <w:spacing w:after="0"/>
        <w:jc w:val="center"/>
        <w:rPr>
          <w:rFonts w:ascii="Calibri" w:hAnsi="Calibri"/>
          <w:sz w:val="20"/>
        </w:rPr>
      </w:pPr>
      <w:r>
        <w:rPr>
          <w:rStyle w:val="c50"/>
          <w:b/>
          <w:sz w:val="28"/>
        </w:rPr>
        <w:t>«</w:t>
      </w:r>
      <w:bookmarkStart w:id="0" w:name="_GoBack"/>
      <w:r>
        <w:rPr>
          <w:rStyle w:val="c50"/>
          <w:b/>
          <w:sz w:val="28"/>
        </w:rPr>
        <w:t>Особенности сенсорного развития детей раннего возраста</w:t>
      </w:r>
      <w:bookmarkEnd w:id="0"/>
      <w:r>
        <w:rPr>
          <w:rStyle w:val="c50"/>
          <w:b/>
          <w:sz w:val="28"/>
        </w:rPr>
        <w:t>»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Ребенок в жизни сталкивается с многообразием форм, красок и других свойств пр</w:t>
      </w:r>
      <w:r>
        <w:rPr>
          <w:rStyle w:val="c20"/>
          <w:sz w:val="28"/>
        </w:rPr>
        <w:t xml:space="preserve">едметов, в частности игрушек и предметов домашнего обихода. И конечно, каждый ребенок, даже без целенаправленного воспитания, так или иначе воспринимает все это. Но если усвоение происходит стихийно, без разумного педагогического руководства взрослых, оно </w:t>
      </w:r>
      <w:r>
        <w:rPr>
          <w:rStyle w:val="c20"/>
          <w:sz w:val="28"/>
        </w:rPr>
        <w:t>нередко оказывается поверхностным, неполноценным. Здесь-то и приходит на помощь сенсорное воспитание — последовательное планомерное ознакомление ребенка с сенсорной культурой человечества.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Сенсорное развитие ребенка — это развитие его восприятия и формиров</w:t>
      </w:r>
      <w:r>
        <w:rPr>
          <w:rStyle w:val="c20"/>
          <w:sz w:val="28"/>
        </w:rPr>
        <w:t>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трудно переоценить. Именно этот возраст наиболее благоприятен дл</w:t>
      </w:r>
      <w:r>
        <w:rPr>
          <w:rStyle w:val="c20"/>
          <w:sz w:val="28"/>
        </w:rPr>
        <w:t>я совершенствования деятельности органов чувств.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Сенсорное воспитание не имеет в педагогическом процессе ограничения в смысле времени и места, потому что его задачи решаются во всех видах деятельности ребенка, постоянно. И не только в детском саду, но и до</w:t>
      </w:r>
      <w:r>
        <w:rPr>
          <w:rStyle w:val="c20"/>
          <w:sz w:val="28"/>
        </w:rPr>
        <w:t>ма. Ведь, если говорить о раннем возрасте, то в нем сенсорное воспитание, по-прежнему, остается преобладающим.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Почему же в таком случае нельзя ограничиться только занятиями и обучением в детском саду?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Прежде всего, потому, что занятия в течение дня занимаю</w:t>
      </w:r>
      <w:r>
        <w:rPr>
          <w:rStyle w:val="c20"/>
          <w:sz w:val="28"/>
        </w:rPr>
        <w:t>т очень небольшую часть времени. Кроме того, задачи сенсорного воспитания составляют на них только часть из тех, которые предусмотрены программным содержанием занятия, а значит, время, которое ребенок использует для обследования предметов, ограничено. Круг</w:t>
      </w:r>
      <w:r>
        <w:rPr>
          <w:rStyle w:val="c20"/>
          <w:sz w:val="28"/>
        </w:rPr>
        <w:t xml:space="preserve"> предметов, обследуемых на занятии, по сравнению с другими формами организации детской деятельности, тоже весьма ограничен. В детском саду воспитатель направляет внимание ребенка только на те свойства, освоение которых предусмотрено программным содержанием</w:t>
      </w:r>
      <w:r>
        <w:rPr>
          <w:rStyle w:val="c20"/>
          <w:sz w:val="28"/>
        </w:rPr>
        <w:t>, поскольку от этого зависит получение им конкретного результата в продуктивной деятельности (рисовании, лепке, аппликации и т. д.). К тому же на занятии не всегда есть возможность дать ребенку нужный предмет для обследования всеми возможными анализаторами</w:t>
      </w:r>
      <w:r>
        <w:rPr>
          <w:rStyle w:val="c20"/>
          <w:sz w:val="28"/>
        </w:rPr>
        <w:t xml:space="preserve"> (например, если есть только демонстрационный образец).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 xml:space="preserve">Из всего вышесказанного следует педагогический вывод: задачи сенсорного воспитания должны решаться и вне занятий, во всех видах </w:t>
      </w:r>
      <w:r>
        <w:rPr>
          <w:rStyle w:val="c20"/>
          <w:sz w:val="28"/>
        </w:rPr>
        <w:lastRenderedPageBreak/>
        <w:t>детской деятельности, поскольку каждая из них имеет для этого большие во</w:t>
      </w:r>
      <w:r>
        <w:rPr>
          <w:rStyle w:val="c20"/>
          <w:sz w:val="28"/>
        </w:rPr>
        <w:t>зможности, а также родителями дома и вне детского сада.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Особую роль в сенсорном воспитании имеют упражнения. В них ребенок закрепляет свои знания, совершенствует умения использовать эти знания при решении различных задач. Сейчас много литературы по этому в</w:t>
      </w:r>
      <w:r>
        <w:rPr>
          <w:rStyle w:val="c20"/>
          <w:sz w:val="28"/>
        </w:rPr>
        <w:t>опросу. Как обследовательские действия и эталоны, так и дидактические игры можно классифицировать по разным признакам: по задачам, по видам восприятия, по возрасту детей и т. д. Аналогичным образом можно рассмотреть и выявить возможности сенсорного развити</w:t>
      </w:r>
      <w:r>
        <w:rPr>
          <w:rStyle w:val="c20"/>
          <w:sz w:val="28"/>
        </w:rPr>
        <w:t>я детей на прогулках, в предметно-практической деятельности и т. д.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На первом году жизни основная задача состоит в предоставлении ребенку до</w:t>
      </w:r>
      <w:r>
        <w:rPr>
          <w:rStyle w:val="c20"/>
          <w:sz w:val="28"/>
        </w:rPr>
        <w:t>статочного богатства и разнообразия внешних впечатлений, развитии внимания к свойствам предметов. Когда у малыша начинают формироваться хватательные движения, к этой задаче присоединяется еще одна — необходимо помочь ребенку приспособить хватательные движе</w:t>
      </w:r>
      <w:r>
        <w:rPr>
          <w:rStyle w:val="c20"/>
          <w:sz w:val="28"/>
        </w:rPr>
        <w:t>ния к форме предмета, его величине и положению в пространстве.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 xml:space="preserve">Сенсорное воспитание в этот период — основной вид воспитания вообще. Обеспечивая приток все новых впечатлений, оно становится необходимым не только для развития деятельности органов чувств, но </w:t>
      </w:r>
      <w:r>
        <w:rPr>
          <w:rStyle w:val="c20"/>
          <w:sz w:val="28"/>
        </w:rPr>
        <w:t>и для нормального общего физического и психического развития ребенка. Известно, что в условиях ограниченности притока впечатлений младенцы испытывают «сенсорный голод», ведущий к значительным задержкам общего развития.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На втором-третьем году жизни задачи с</w:t>
      </w:r>
      <w:r>
        <w:rPr>
          <w:rStyle w:val="c20"/>
          <w:sz w:val="28"/>
        </w:rPr>
        <w:t>енсорного воспитания существенно усложняются. Хотя ребенок раннего возраста еще не готов к усвоению сенсорных эталонов, у него начинают накапливаться представления о цвете, форме, величине и других свойствах предметов. Важно, чтобы эти представления были д</w:t>
      </w:r>
      <w:r>
        <w:rPr>
          <w:rStyle w:val="c20"/>
          <w:sz w:val="28"/>
        </w:rPr>
        <w:t>остаточно разнообразными. А это значит, что ребенка следует знакомить со всеми основными разновидностями свойств — шестью цветами спектра (голубой цвет следует исключить, так как дети плохо отличают его от синего, белым и черным цветом, с такими формами, к</w:t>
      </w:r>
      <w:r>
        <w:rPr>
          <w:rStyle w:val="c20"/>
          <w:sz w:val="28"/>
        </w:rPr>
        <w:t>ак круг, квадрат, овал, прямоугольник. В практике дошкольного воспитания еще встречается устаревшая тенденция знакомить детей раннего возраста с двумя-тремя цветами и формами и требовать запоминания и правильного употребления детьми их названий. Современны</w:t>
      </w:r>
      <w:r>
        <w:rPr>
          <w:rStyle w:val="c20"/>
          <w:sz w:val="28"/>
        </w:rPr>
        <w:t xml:space="preserve">е исследования говорят о том, что такое обучение мало способствует сенсорному развитию ребенка, резко ограничивая круг получаемых им представлений о свойствах предметов. Более того, заучивание отдельных разновидностей свойств ведет </w:t>
      </w:r>
      <w:r>
        <w:rPr>
          <w:rStyle w:val="c20"/>
          <w:sz w:val="28"/>
        </w:rPr>
        <w:lastRenderedPageBreak/>
        <w:t>к тому, что дети переста</w:t>
      </w:r>
      <w:r>
        <w:rPr>
          <w:rStyle w:val="c20"/>
          <w:sz w:val="28"/>
        </w:rPr>
        <w:t>ют обращать внимание на другие их разновидности. В результате возникают своеобразные ошибки восприятия: если ребенок знает, например, желтый цвет, но не знает оранжевого, то он ошибочно воспринимает оранжевый как желтый.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Знакомя детей с различными свойства</w:t>
      </w:r>
      <w:r>
        <w:rPr>
          <w:rStyle w:val="c20"/>
          <w:sz w:val="28"/>
        </w:rPr>
        <w:t>ми предметов, не следует добиваться запоминания и употребления их названий. Главное, чтобы ребенок умел учитывать свойства предметов во время действий с ними. И не беда, если треугольник он будет при этом называть «угольником» или «крышей». Взрослый, заним</w:t>
      </w:r>
      <w:r>
        <w:rPr>
          <w:rStyle w:val="c20"/>
          <w:sz w:val="28"/>
        </w:rPr>
        <w:t>аясь с детьми, употребляет названия форм и цветов, но не требует этого от воспитанников. Достаточно, чтобы дети научились правильно понимать слова: «форма», «цвет», «такой же».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Чтобы привлечь внимание ребенка раннего возраста к свойствам, целесообразно орг</w:t>
      </w:r>
      <w:r>
        <w:rPr>
          <w:rStyle w:val="c20"/>
          <w:sz w:val="28"/>
        </w:rPr>
        <w:t xml:space="preserve">анизовать такие действия с предметами, при которых для получения нужного результата требуется сопоставить предметы, установить их совпадение или несовпадение. Такое сопоставление вначале дети не могут выполнить зрительно. Поэтому им предлагают накладывать </w:t>
      </w:r>
      <w:r>
        <w:rPr>
          <w:rStyle w:val="c20"/>
          <w:sz w:val="28"/>
        </w:rPr>
        <w:t>предметы друг на друга, чтобы сравнить по форме и величине, прикладывать их вплотную друг к другу, сравнивая цвета. От внешних приемов сопоставления дети постепенно переходят к сопоставлению на глаз. Это дает им возможность устанавливать тождество и различ</w:t>
      </w:r>
      <w:r>
        <w:rPr>
          <w:rStyle w:val="c20"/>
          <w:sz w:val="28"/>
        </w:rPr>
        <w:t>ие по внешним свойствам и между такими предметами, которые нельзя наложить друг на друга или приложить вплотную (например, между объемными предметами).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Манипулируя предметами, дети второго года жизни продолжают знакомиться с разнообразными свойствами: вели</w:t>
      </w:r>
      <w:r>
        <w:rPr>
          <w:rStyle w:val="c20"/>
          <w:sz w:val="28"/>
        </w:rPr>
        <w:t>чиной, формой, цветом.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В конечном счете, дети начинают сопоставлять предметы зрительно: многократно переводят взгляд с одного предмета на другой, старательно подбирая вкладыши необходимой величины, цвета или формы.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 xml:space="preserve">Более сложными становятся и движения рук </w:t>
      </w:r>
      <w:r>
        <w:rPr>
          <w:rStyle w:val="c20"/>
          <w:sz w:val="28"/>
        </w:rPr>
        <w:t>детей. Если раньше ребенок просто раскладывал предметы или размещал довольно крупные вкладыши в соответствующих гнездах, то теперь, чтобы «посадить» в маленькое отверстие грибок, необходимы тонкие движения руки под контролем зрения и осязания.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Из всего выш</w:t>
      </w:r>
      <w:r>
        <w:rPr>
          <w:rStyle w:val="c20"/>
          <w:sz w:val="28"/>
        </w:rPr>
        <w:t>есказанного родителям необходимо запомнить, что вначале происходит ознакомление детей с вполне осязаемыми сенсорными свойствами — величиной и формой предметов, которые можно обследовать путем ощупывания, а уж потом с таким сенсорным свойством, как цвет, ор</w:t>
      </w:r>
      <w:r>
        <w:rPr>
          <w:rStyle w:val="c20"/>
          <w:sz w:val="28"/>
        </w:rPr>
        <w:t>иентировка на который возможна только в плане зрительного восприятия.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lastRenderedPageBreak/>
        <w:t>Удовлетворить детскую любознательность, вовлечь ребенка в активное освоение окружающего мира, помочь ему овладеть способами познания связи между предметами и явлениями позволяет игра.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Бо</w:t>
      </w:r>
      <w:r>
        <w:rPr>
          <w:rStyle w:val="c20"/>
          <w:sz w:val="28"/>
        </w:rPr>
        <w:t>гатые возможности для сенсорного развития и совершенствования ловкости рук таят в себе народные игрушки: башенки, неваляшки, разборные шары, вкладыши, пирамидки, матрешки и многие другие. Детей привлекает красочность этих игрушек, забавность действия с ним</w:t>
      </w:r>
      <w:r>
        <w:rPr>
          <w:rStyle w:val="c20"/>
          <w:sz w:val="28"/>
        </w:rPr>
        <w:t>и. Играя, ребенок приобретает умение действовать на основе различения формы, величины, цвета предметов, овладевает разнообразными новыми движениями. И все это своеобразное обучение элементарным умениям и навыкам осуществляется в игровых формах, увлекательн</w:t>
      </w:r>
      <w:r>
        <w:rPr>
          <w:rStyle w:val="c20"/>
          <w:sz w:val="28"/>
        </w:rPr>
        <w:t>ых и доступных ребенку.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Для обучения через игру созданы дидактические игры. 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</w:t>
      </w:r>
      <w:r>
        <w:rPr>
          <w:rStyle w:val="c20"/>
          <w:sz w:val="28"/>
        </w:rPr>
        <w:t>ределенными предметами, учатся культуре общения друг с другом. Любая дидактическая игра содержит познавательную и воспитательную игровые составляющие, игровые действия, игровые и организационные отношения.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Очень важно создать дома благоприятные условия для</w:t>
      </w:r>
      <w:r>
        <w:rPr>
          <w:rStyle w:val="c20"/>
          <w:sz w:val="28"/>
        </w:rPr>
        <w:t xml:space="preserve"> организации такой игры, потому что в ней развивается интеллект детей.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Для этого необходимо создать такую психологическую атмосферу, чтобы ребенок чувствовал себя любимым и желанным, чтобы он не был «зажат», а мог свободно проявлять свои стремления и интер</w:t>
      </w:r>
      <w:r>
        <w:rPr>
          <w:rStyle w:val="c20"/>
          <w:sz w:val="28"/>
        </w:rPr>
        <w:t>есы; предоставлять малышу свободу для игры, поощрять самостоятельность и любознательность; постоянно использовать в речи взрослых слова, обозначающие цвет, размер, форму предметов, их пространственное расположение и количество.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Дидактическая игра направлен</w:t>
      </w:r>
      <w:r>
        <w:rPr>
          <w:rStyle w:val="c20"/>
          <w:sz w:val="28"/>
        </w:rPr>
        <w:t>а на развитие таких психических процессов, как память, мышление, творческое воображение. Она вырабатывает усидчивость, дает простор для проявления самостоятельности. Дидактические игры и занятия необходимы для умственного развития маленьких детей. Во время</w:t>
      </w:r>
      <w:r>
        <w:rPr>
          <w:rStyle w:val="c20"/>
          <w:sz w:val="28"/>
        </w:rPr>
        <w:t xml:space="preserve"> занятий у ребенка воспитывается способность сосредоточиться на том, что ему показывает и говорит взрослый.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Дидактические игры и упражнения могут применяться в качестве получения знаний по сенсорике, так и в целях расширения, уточнения и закрепления получе</w:t>
      </w:r>
      <w:r>
        <w:rPr>
          <w:rStyle w:val="c20"/>
          <w:sz w:val="28"/>
        </w:rPr>
        <w:t>нных на занятиях в детском саду знаний и умений малышей.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lastRenderedPageBreak/>
        <w:t>Необходимо всегда ставить перед собой задачу учить детей выделять в предметах и явлениях самое существенное, характерное, формировать у малышей представление о сенсорных эталонах.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 xml:space="preserve">И еще - постоянно </w:t>
      </w:r>
      <w:r>
        <w:rPr>
          <w:rStyle w:val="c20"/>
          <w:sz w:val="28"/>
        </w:rPr>
        <w:t>используйте в общении с малышами стихи, пословицы, шутки, прибаутки. И старайтесь произносить их задорно, чтобы детям всегда хотелось повторять текст за вами.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В заключение следует еще раз отметить, что сенсорное развитие, с одной стороны, составляет фундам</w:t>
      </w:r>
      <w:r>
        <w:rPr>
          <w:rStyle w:val="c20"/>
          <w:sz w:val="28"/>
        </w:rPr>
        <w:t>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труда.</w:t>
      </w:r>
    </w:p>
    <w:p w:rsidR="0001332C" w:rsidRDefault="00E135E4">
      <w:pPr>
        <w:pStyle w:val="c1"/>
        <w:spacing w:after="0"/>
        <w:ind w:firstLine="708"/>
        <w:jc w:val="both"/>
        <w:rPr>
          <w:rFonts w:ascii="Calibri" w:hAnsi="Calibri"/>
          <w:sz w:val="20"/>
        </w:rPr>
      </w:pPr>
      <w:r>
        <w:rPr>
          <w:rStyle w:val="c20"/>
          <w:sz w:val="28"/>
        </w:rPr>
        <w:t>С восприятия предметов и явлений окружа</w:t>
      </w:r>
      <w:r>
        <w:rPr>
          <w:rStyle w:val="c20"/>
          <w:sz w:val="28"/>
        </w:rPr>
        <w:t>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сенсорно</w:t>
      </w:r>
      <w:r>
        <w:rPr>
          <w:rStyle w:val="c20"/>
          <w:sz w:val="28"/>
        </w:rPr>
        <w:t>е развитие детей раннего возраста.</w:t>
      </w:r>
    </w:p>
    <w:p w:rsidR="0001332C" w:rsidRDefault="0001332C"/>
    <w:sectPr w:rsidR="0001332C" w:rsidSect="0001332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01332C"/>
    <w:rsid w:val="0001332C"/>
    <w:rsid w:val="00E1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332C"/>
  </w:style>
  <w:style w:type="paragraph" w:styleId="10">
    <w:name w:val="heading 1"/>
    <w:next w:val="a"/>
    <w:link w:val="11"/>
    <w:uiPriority w:val="9"/>
    <w:qFormat/>
    <w:rsid w:val="0001332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1332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1332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1332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1332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332C"/>
  </w:style>
  <w:style w:type="paragraph" w:styleId="21">
    <w:name w:val="toc 2"/>
    <w:next w:val="a"/>
    <w:link w:val="22"/>
    <w:uiPriority w:val="39"/>
    <w:rsid w:val="0001332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332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1332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332C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01332C"/>
  </w:style>
  <w:style w:type="paragraph" w:styleId="6">
    <w:name w:val="toc 6"/>
    <w:next w:val="a"/>
    <w:link w:val="60"/>
    <w:uiPriority w:val="39"/>
    <w:rsid w:val="0001332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332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332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332C"/>
    <w:rPr>
      <w:rFonts w:ascii="XO Thames" w:hAnsi="XO Thames"/>
      <w:sz w:val="28"/>
    </w:rPr>
  </w:style>
  <w:style w:type="paragraph" w:customStyle="1" w:styleId="c1">
    <w:name w:val="c1"/>
    <w:basedOn w:val="a"/>
    <w:link w:val="c10"/>
    <w:rsid w:val="000133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sid w:val="0001332C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01332C"/>
    <w:rPr>
      <w:rFonts w:ascii="XO Thames" w:hAnsi="XO Thames"/>
      <w:b/>
      <w:sz w:val="26"/>
    </w:rPr>
  </w:style>
  <w:style w:type="paragraph" w:customStyle="1" w:styleId="c2">
    <w:name w:val="c2"/>
    <w:basedOn w:val="12"/>
    <w:link w:val="c20"/>
    <w:rsid w:val="0001332C"/>
  </w:style>
  <w:style w:type="character" w:customStyle="1" w:styleId="c20">
    <w:name w:val="c2"/>
    <w:basedOn w:val="a0"/>
    <w:link w:val="c2"/>
    <w:rsid w:val="0001332C"/>
  </w:style>
  <w:style w:type="paragraph" w:customStyle="1" w:styleId="c3">
    <w:name w:val="c3"/>
    <w:basedOn w:val="a"/>
    <w:link w:val="c30"/>
    <w:rsid w:val="000133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sid w:val="0001332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01332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332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1332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1332C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01332C"/>
    <w:rPr>
      <w:color w:val="0000FF"/>
      <w:u w:val="single"/>
    </w:rPr>
  </w:style>
  <w:style w:type="character" w:styleId="a3">
    <w:name w:val="Hyperlink"/>
    <w:link w:val="13"/>
    <w:rsid w:val="0001332C"/>
    <w:rPr>
      <w:color w:val="0000FF"/>
      <w:u w:val="single"/>
    </w:rPr>
  </w:style>
  <w:style w:type="paragraph" w:customStyle="1" w:styleId="Footnote">
    <w:name w:val="Footnote"/>
    <w:link w:val="Footnote0"/>
    <w:rsid w:val="0001332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1332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1332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1332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332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1332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332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332C"/>
    <w:rPr>
      <w:rFonts w:ascii="XO Thames" w:hAnsi="XO Thames"/>
      <w:sz w:val="28"/>
    </w:rPr>
  </w:style>
  <w:style w:type="paragraph" w:customStyle="1" w:styleId="c5">
    <w:name w:val="c5"/>
    <w:basedOn w:val="12"/>
    <w:link w:val="c50"/>
    <w:rsid w:val="0001332C"/>
  </w:style>
  <w:style w:type="character" w:customStyle="1" w:styleId="c50">
    <w:name w:val="c5"/>
    <w:basedOn w:val="a0"/>
    <w:link w:val="c5"/>
    <w:rsid w:val="0001332C"/>
  </w:style>
  <w:style w:type="paragraph" w:styleId="8">
    <w:name w:val="toc 8"/>
    <w:next w:val="a"/>
    <w:link w:val="80"/>
    <w:uiPriority w:val="39"/>
    <w:rsid w:val="0001332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332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1332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332C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1332C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01332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01332C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1332C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01332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01332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1332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1332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2021-12-06T06:27:00Z</dcterms:created>
  <dcterms:modified xsi:type="dcterms:W3CDTF">2021-12-06T06:27:00Z</dcterms:modified>
</cp:coreProperties>
</file>