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AE" w:rsidRDefault="000516AE">
      <w:pPr>
        <w:spacing w:after="0"/>
        <w:ind w:firstLine="709"/>
        <w:jc w:val="both"/>
      </w:pPr>
    </w:p>
    <w:p w:rsidR="000516AE" w:rsidRDefault="003A7F9B">
      <w:pPr>
        <w:spacing w:after="0"/>
        <w:ind w:firstLine="709"/>
        <w:jc w:val="center"/>
      </w:pPr>
      <w:r>
        <w:t>Увольнение вдовы ветерана боевых действий в течение года после гибели запрещено</w:t>
      </w:r>
    </w:p>
    <w:p w:rsidR="000516AE" w:rsidRDefault="000516AE">
      <w:pPr>
        <w:spacing w:after="0"/>
        <w:ind w:firstLine="709"/>
        <w:jc w:val="both"/>
      </w:pPr>
    </w:p>
    <w:p w:rsidR="000516AE" w:rsidRDefault="003A7F9B">
      <w:pPr>
        <w:spacing w:after="0"/>
        <w:ind w:firstLine="709"/>
        <w:jc w:val="both"/>
      </w:pPr>
      <w:r>
        <w:t>Трудовой кодекс Российской Федер</w:t>
      </w:r>
      <w:r>
        <w:t>ации дополнен новой статьей о гарантиях супругам погибшего или умершего ветерана боевых действий (ст. 264.1), запрещающей расторгать трудовой договор по инициативе работодателя в течение года с момента гибели с теми из них, кто не вступил в повторный брак.</w:t>
      </w:r>
    </w:p>
    <w:p w:rsidR="000516AE" w:rsidRDefault="003A7F9B">
      <w:pPr>
        <w:spacing w:after="0"/>
        <w:ind w:firstLine="709"/>
        <w:jc w:val="both"/>
      </w:pPr>
      <w:r>
        <w:t>Вместе с тем, предусмотрен ряд исключений, допускающих увольнение данной категории работников по инициативе работодателя.</w:t>
      </w:r>
    </w:p>
    <w:p w:rsidR="000516AE" w:rsidRDefault="003A7F9B">
      <w:pPr>
        <w:spacing w:after="0"/>
        <w:ind w:firstLine="709"/>
        <w:jc w:val="both"/>
      </w:pPr>
      <w:r>
        <w:t>В частности, работника могут уволить в случае ликвидации организации, грубого нарушения трудовых обязанностей, предоставления при зак</w:t>
      </w:r>
      <w:r>
        <w:t>лючении трудового договора подложных документов и некоторых других случаях, перечисленных в названной выше норме закона.</w:t>
      </w:r>
    </w:p>
    <w:p w:rsidR="000516AE" w:rsidRDefault="003A7F9B">
      <w:pPr>
        <w:spacing w:after="0"/>
        <w:ind w:firstLine="709"/>
        <w:jc w:val="both"/>
      </w:pPr>
      <w:proofErr w:type="gramStart"/>
      <w:r>
        <w:t>В силу ст. 392 Трудового кодекса Российской Федерации работник имеет право обратиться в суд за разрешением индивидуального трудового сп</w:t>
      </w:r>
      <w:r>
        <w:t>ора в течение трех месяцев со дня, когда он узнал или должен был узнать о нарушении своего права, а по спорам об увольнении – в течение одного месяца со дня вручения копии приказа об увольнении либо со дня выдачи трудовой книжки или со</w:t>
      </w:r>
      <w:proofErr w:type="gramEnd"/>
      <w:r>
        <w:t xml:space="preserve"> дня предоставления р</w:t>
      </w:r>
      <w:r>
        <w:t xml:space="preserve">аботнику </w:t>
      </w:r>
      <w:proofErr w:type="gramStart"/>
      <w:r>
        <w:t>в связи с увольнением сведений о трудовой деятельности у работодателя по последнему месту</w:t>
      </w:r>
      <w:proofErr w:type="gramEnd"/>
      <w:r>
        <w:t xml:space="preserve"> работы.</w:t>
      </w:r>
    </w:p>
    <w:p w:rsidR="000516AE" w:rsidRDefault="003A7F9B">
      <w:pPr>
        <w:spacing w:after="0"/>
        <w:ind w:firstLine="709"/>
        <w:jc w:val="both"/>
      </w:pPr>
      <w:bookmarkStart w:id="0" w:name="_GoBack"/>
      <w:bookmarkEnd w:id="0"/>
      <w:r>
        <w:t>Трудовые споры о восстановлении на работе рассматриваются с обязательным участием прокурора.</w:t>
      </w:r>
    </w:p>
    <w:sectPr w:rsidR="000516AE" w:rsidSect="000516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F9B" w:rsidRDefault="003A7F9B">
      <w:pPr>
        <w:spacing w:after="0"/>
      </w:pPr>
      <w:r>
        <w:separator/>
      </w:r>
    </w:p>
  </w:endnote>
  <w:endnote w:type="continuationSeparator" w:id="0">
    <w:p w:rsidR="003A7F9B" w:rsidRDefault="003A7F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F9B" w:rsidRDefault="003A7F9B">
      <w:pPr>
        <w:spacing w:after="0"/>
      </w:pPr>
      <w:r>
        <w:separator/>
      </w:r>
    </w:p>
  </w:footnote>
  <w:footnote w:type="continuationSeparator" w:id="0">
    <w:p w:rsidR="003A7F9B" w:rsidRDefault="003A7F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6AE"/>
    <w:rsid w:val="000516AE"/>
    <w:rsid w:val="003A7F9B"/>
    <w:rsid w:val="00C93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A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0516A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0516A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516A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516A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516A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516A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516A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516A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516A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516A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516A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0516A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516A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0516A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516A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0516A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516A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516A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516AE"/>
    <w:pPr>
      <w:ind w:left="720"/>
      <w:contextualSpacing/>
    </w:pPr>
  </w:style>
  <w:style w:type="paragraph" w:styleId="a4">
    <w:name w:val="No Spacing"/>
    <w:uiPriority w:val="1"/>
    <w:qFormat/>
    <w:rsid w:val="000516A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516A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516A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516A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516A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516A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516A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516A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516A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516AE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0516AE"/>
  </w:style>
  <w:style w:type="paragraph" w:customStyle="1" w:styleId="Footer">
    <w:name w:val="Footer"/>
    <w:basedOn w:val="a"/>
    <w:link w:val="CaptionChar"/>
    <w:uiPriority w:val="99"/>
    <w:unhideWhenUsed/>
    <w:rsid w:val="000516AE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0516A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516A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516AE"/>
  </w:style>
  <w:style w:type="table" w:styleId="ab">
    <w:name w:val="Table Grid"/>
    <w:basedOn w:val="a1"/>
    <w:uiPriority w:val="59"/>
    <w:rsid w:val="000516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516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516A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51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516A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516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516AE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516AE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516AE"/>
    <w:rPr>
      <w:sz w:val="18"/>
    </w:rPr>
  </w:style>
  <w:style w:type="character" w:styleId="af">
    <w:name w:val="footnote reference"/>
    <w:basedOn w:val="a0"/>
    <w:uiPriority w:val="99"/>
    <w:unhideWhenUsed/>
    <w:rsid w:val="000516A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516AE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0516AE"/>
    <w:rPr>
      <w:sz w:val="20"/>
    </w:rPr>
  </w:style>
  <w:style w:type="character" w:styleId="af2">
    <w:name w:val="endnote reference"/>
    <w:basedOn w:val="a0"/>
    <w:uiPriority w:val="99"/>
    <w:semiHidden/>
    <w:unhideWhenUsed/>
    <w:rsid w:val="000516A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516AE"/>
    <w:pPr>
      <w:spacing w:after="57"/>
    </w:pPr>
  </w:style>
  <w:style w:type="paragraph" w:styleId="21">
    <w:name w:val="toc 2"/>
    <w:basedOn w:val="a"/>
    <w:next w:val="a"/>
    <w:uiPriority w:val="39"/>
    <w:unhideWhenUsed/>
    <w:rsid w:val="000516A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516A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516A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516A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516A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516A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516A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516AE"/>
    <w:pPr>
      <w:spacing w:after="57"/>
      <w:ind w:left="2268"/>
    </w:pPr>
  </w:style>
  <w:style w:type="paragraph" w:styleId="af3">
    <w:name w:val="TOC Heading"/>
    <w:uiPriority w:val="39"/>
    <w:unhideWhenUsed/>
    <w:rsid w:val="000516AE"/>
  </w:style>
  <w:style w:type="paragraph" w:styleId="af4">
    <w:name w:val="table of figures"/>
    <w:basedOn w:val="a"/>
    <w:next w:val="a"/>
    <w:uiPriority w:val="99"/>
    <w:unhideWhenUsed/>
    <w:rsid w:val="000516A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2024-12-09T12:42:00Z</dcterms:created>
  <dcterms:modified xsi:type="dcterms:W3CDTF">2024-12-09T12:42:00Z</dcterms:modified>
</cp:coreProperties>
</file>